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1E98" w:rsidRPr="00877F94" w:rsidRDefault="00FD706A" w:rsidP="00FD706A">
      <w:pPr>
        <w:jc w:val="center"/>
        <w:rPr>
          <w:rFonts w:ascii="Arial" w:hAnsi="Arial" w:cs="Arial"/>
          <w:b/>
          <w:smallCaps/>
          <w:sz w:val="36"/>
          <w:szCs w:val="22"/>
        </w:rPr>
      </w:pPr>
      <w:r w:rsidRPr="00877F94">
        <w:rPr>
          <w:rFonts w:ascii="Arial" w:hAnsi="Arial" w:cs="Arial"/>
          <w:b/>
          <w:smallCaps/>
          <w:sz w:val="36"/>
          <w:szCs w:val="22"/>
        </w:rPr>
        <w:t xml:space="preserve">Efectos de diferentes estrategias de fertilización sobre los rendimientos, el balance de nutrientes y </w:t>
      </w:r>
      <w:r w:rsidR="00877F94" w:rsidRPr="00877F94">
        <w:rPr>
          <w:rFonts w:ascii="Arial" w:hAnsi="Arial" w:cs="Arial"/>
          <w:b/>
          <w:smallCaps/>
          <w:sz w:val="36"/>
          <w:szCs w:val="22"/>
        </w:rPr>
        <w:t>la fertilidad química de</w:t>
      </w:r>
      <w:r w:rsidRPr="00877F94">
        <w:rPr>
          <w:rFonts w:ascii="Arial" w:hAnsi="Arial" w:cs="Arial"/>
          <w:b/>
          <w:smallCaps/>
          <w:sz w:val="36"/>
          <w:szCs w:val="22"/>
        </w:rPr>
        <w:t xml:space="preserve"> los suelos</w:t>
      </w:r>
      <w:r w:rsidR="00530736" w:rsidRPr="00877F94">
        <w:rPr>
          <w:rFonts w:ascii="Arial" w:hAnsi="Arial" w:cs="Arial"/>
          <w:b/>
          <w:smallCaps/>
          <w:sz w:val="36"/>
          <w:szCs w:val="22"/>
        </w:rPr>
        <w:t xml:space="preserve"> en el largo plazo</w:t>
      </w:r>
    </w:p>
    <w:p w:rsidR="006D6D5B" w:rsidRPr="0022296B" w:rsidRDefault="006D6D5B" w:rsidP="00FD706A">
      <w:pPr>
        <w:jc w:val="center"/>
        <w:rPr>
          <w:rFonts w:ascii="Arial" w:hAnsi="Arial" w:cs="Arial"/>
          <w:sz w:val="22"/>
          <w:szCs w:val="22"/>
        </w:rPr>
      </w:pPr>
    </w:p>
    <w:p w:rsidR="00FD706A" w:rsidRPr="0022296B" w:rsidRDefault="008C454A" w:rsidP="00FD706A">
      <w:pPr>
        <w:jc w:val="center"/>
        <w:rPr>
          <w:rFonts w:ascii="Arial" w:hAnsi="Arial" w:cs="Arial"/>
          <w:b/>
          <w:sz w:val="22"/>
          <w:szCs w:val="22"/>
        </w:rPr>
      </w:pPr>
      <w:r w:rsidRPr="0022296B">
        <w:rPr>
          <w:rFonts w:ascii="Arial" w:hAnsi="Arial" w:cs="Arial"/>
          <w:b/>
          <w:sz w:val="22"/>
          <w:szCs w:val="22"/>
        </w:rPr>
        <w:t>G</w:t>
      </w:r>
      <w:r w:rsidR="00FD706A" w:rsidRPr="0022296B">
        <w:rPr>
          <w:rFonts w:ascii="Arial" w:hAnsi="Arial" w:cs="Arial"/>
          <w:b/>
          <w:sz w:val="22"/>
          <w:szCs w:val="22"/>
        </w:rPr>
        <w:t>.</w:t>
      </w:r>
      <w:r w:rsidRPr="0022296B">
        <w:rPr>
          <w:rFonts w:ascii="Arial" w:hAnsi="Arial" w:cs="Arial"/>
          <w:b/>
          <w:sz w:val="22"/>
          <w:szCs w:val="22"/>
        </w:rPr>
        <w:t>N. Ferraris</w:t>
      </w:r>
      <w:r w:rsidR="00FD706A" w:rsidRPr="0022296B">
        <w:rPr>
          <w:rFonts w:ascii="Arial" w:hAnsi="Arial" w:cs="Arial"/>
          <w:b/>
          <w:sz w:val="22"/>
          <w:szCs w:val="22"/>
          <w:vertAlign w:val="superscript"/>
        </w:rPr>
        <w:t>1,*</w:t>
      </w:r>
      <w:r w:rsidR="00FD706A" w:rsidRPr="0022296B">
        <w:rPr>
          <w:rFonts w:ascii="Arial" w:hAnsi="Arial" w:cs="Arial"/>
          <w:b/>
          <w:sz w:val="22"/>
          <w:szCs w:val="22"/>
        </w:rPr>
        <w:t>, M. Toribio</w:t>
      </w:r>
      <w:r w:rsidR="00FD706A" w:rsidRPr="0022296B">
        <w:rPr>
          <w:rFonts w:ascii="Arial" w:hAnsi="Arial" w:cs="Arial"/>
          <w:b/>
          <w:sz w:val="22"/>
          <w:szCs w:val="22"/>
          <w:vertAlign w:val="superscript"/>
        </w:rPr>
        <w:t>2</w:t>
      </w:r>
      <w:r w:rsidR="00FD706A" w:rsidRPr="0022296B">
        <w:rPr>
          <w:rFonts w:ascii="Arial" w:hAnsi="Arial" w:cs="Arial"/>
          <w:b/>
          <w:sz w:val="22"/>
          <w:szCs w:val="22"/>
        </w:rPr>
        <w:t>, R. Falconi</w:t>
      </w:r>
      <w:r w:rsidR="00FD706A" w:rsidRPr="0022296B">
        <w:rPr>
          <w:rFonts w:ascii="Arial" w:hAnsi="Arial" w:cs="Arial"/>
          <w:b/>
          <w:sz w:val="22"/>
          <w:szCs w:val="22"/>
          <w:vertAlign w:val="superscript"/>
        </w:rPr>
        <w:t>3</w:t>
      </w:r>
      <w:r w:rsidR="00140A1C">
        <w:rPr>
          <w:rFonts w:ascii="Arial" w:hAnsi="Arial" w:cs="Arial"/>
          <w:b/>
          <w:sz w:val="22"/>
          <w:szCs w:val="22"/>
        </w:rPr>
        <w:t>, R</w:t>
      </w:r>
      <w:r w:rsidR="005C5C10">
        <w:rPr>
          <w:rFonts w:ascii="Arial" w:hAnsi="Arial" w:cs="Arial"/>
          <w:b/>
          <w:sz w:val="22"/>
          <w:szCs w:val="22"/>
        </w:rPr>
        <w:t>.</w:t>
      </w:r>
      <w:r w:rsidR="00140A1C">
        <w:rPr>
          <w:rFonts w:ascii="Arial" w:hAnsi="Arial" w:cs="Arial"/>
          <w:b/>
          <w:sz w:val="22"/>
          <w:szCs w:val="22"/>
        </w:rPr>
        <w:t xml:space="preserve"> Falcone</w:t>
      </w:r>
      <w:r w:rsidR="00140A1C" w:rsidRPr="00140A1C">
        <w:rPr>
          <w:rFonts w:ascii="Arial" w:hAnsi="Arial" w:cs="Arial"/>
          <w:b/>
          <w:sz w:val="22"/>
          <w:szCs w:val="22"/>
          <w:vertAlign w:val="superscript"/>
        </w:rPr>
        <w:t>2</w:t>
      </w:r>
      <w:r w:rsidR="00497EFD">
        <w:rPr>
          <w:rFonts w:ascii="Arial" w:hAnsi="Arial" w:cs="Arial"/>
          <w:b/>
          <w:sz w:val="22"/>
          <w:szCs w:val="22"/>
        </w:rPr>
        <w:t xml:space="preserve"> </w:t>
      </w:r>
      <w:r w:rsidR="00FD706A" w:rsidRPr="0022296B">
        <w:rPr>
          <w:rFonts w:ascii="Arial" w:hAnsi="Arial" w:cs="Arial"/>
          <w:b/>
          <w:sz w:val="22"/>
          <w:szCs w:val="22"/>
        </w:rPr>
        <w:t xml:space="preserve">y </w:t>
      </w:r>
      <w:r w:rsidR="00497EFD">
        <w:rPr>
          <w:rFonts w:ascii="Arial" w:hAnsi="Arial" w:cs="Arial"/>
          <w:b/>
          <w:sz w:val="22"/>
          <w:szCs w:val="22"/>
        </w:rPr>
        <w:t>F. Moriones</w:t>
      </w:r>
      <w:r w:rsidR="00497EFD">
        <w:rPr>
          <w:rFonts w:ascii="Arial" w:hAnsi="Arial" w:cs="Arial"/>
          <w:b/>
          <w:sz w:val="22"/>
          <w:szCs w:val="22"/>
          <w:vertAlign w:val="superscript"/>
        </w:rPr>
        <w:t>2</w:t>
      </w:r>
    </w:p>
    <w:p w:rsidR="00877F94" w:rsidRDefault="00FD706A" w:rsidP="00877F94">
      <w:pPr>
        <w:jc w:val="center"/>
        <w:rPr>
          <w:rFonts w:ascii="Arial" w:hAnsi="Arial" w:cs="Arial"/>
          <w:sz w:val="20"/>
          <w:szCs w:val="22"/>
        </w:rPr>
      </w:pPr>
      <w:r w:rsidRPr="0022296B">
        <w:rPr>
          <w:rFonts w:ascii="Arial" w:hAnsi="Arial" w:cs="Arial"/>
          <w:sz w:val="20"/>
          <w:szCs w:val="22"/>
          <w:vertAlign w:val="superscript"/>
        </w:rPr>
        <w:t>1</w:t>
      </w:r>
      <w:r w:rsidR="00140A1C" w:rsidRPr="00140A1C">
        <w:rPr>
          <w:rFonts w:ascii="Arial" w:hAnsi="Arial" w:cs="Arial"/>
          <w:sz w:val="20"/>
          <w:szCs w:val="22"/>
        </w:rPr>
        <w:t>INTA Estación Experimental Agropecuaria Pergamino</w:t>
      </w:r>
      <w:r w:rsidRPr="0022296B">
        <w:rPr>
          <w:rFonts w:ascii="Arial" w:hAnsi="Arial" w:cs="Arial"/>
          <w:sz w:val="20"/>
          <w:szCs w:val="22"/>
        </w:rPr>
        <w:t xml:space="preserve">, </w:t>
      </w:r>
      <w:r w:rsidRPr="0022296B">
        <w:rPr>
          <w:rFonts w:ascii="Arial" w:hAnsi="Arial" w:cs="Arial"/>
          <w:sz w:val="20"/>
          <w:szCs w:val="22"/>
          <w:vertAlign w:val="superscript"/>
        </w:rPr>
        <w:t xml:space="preserve">2 </w:t>
      </w:r>
      <w:proofErr w:type="spellStart"/>
      <w:r w:rsidR="00877871" w:rsidRPr="0022296B">
        <w:rPr>
          <w:rFonts w:ascii="Arial" w:hAnsi="Arial" w:cs="Arial"/>
          <w:sz w:val="20"/>
          <w:szCs w:val="22"/>
        </w:rPr>
        <w:t>Profertil</w:t>
      </w:r>
      <w:proofErr w:type="spellEnd"/>
      <w:r w:rsidR="00877871" w:rsidRPr="0022296B">
        <w:rPr>
          <w:rFonts w:ascii="Arial" w:hAnsi="Arial" w:cs="Arial"/>
          <w:sz w:val="20"/>
          <w:szCs w:val="22"/>
        </w:rPr>
        <w:t xml:space="preserve"> S.A. Investigación y Desarrollo</w:t>
      </w:r>
      <w:r w:rsidRPr="0022296B">
        <w:rPr>
          <w:rFonts w:ascii="Arial" w:hAnsi="Arial" w:cs="Arial"/>
          <w:sz w:val="20"/>
          <w:szCs w:val="22"/>
        </w:rPr>
        <w:t>,</w:t>
      </w:r>
      <w:r w:rsidR="00877F94">
        <w:rPr>
          <w:rFonts w:ascii="Arial" w:hAnsi="Arial" w:cs="Arial"/>
          <w:sz w:val="20"/>
          <w:szCs w:val="22"/>
        </w:rPr>
        <w:t xml:space="preserve"> </w:t>
      </w:r>
      <w:r w:rsidRPr="0022296B">
        <w:rPr>
          <w:rFonts w:ascii="Arial" w:hAnsi="Arial" w:cs="Arial"/>
          <w:sz w:val="20"/>
          <w:szCs w:val="22"/>
          <w:vertAlign w:val="superscript"/>
        </w:rPr>
        <w:t xml:space="preserve">3 </w:t>
      </w:r>
      <w:r w:rsidR="00877871" w:rsidRPr="0022296B">
        <w:rPr>
          <w:rFonts w:ascii="Arial" w:hAnsi="Arial" w:cs="Arial"/>
          <w:sz w:val="20"/>
          <w:szCs w:val="22"/>
        </w:rPr>
        <w:t>El Ceibo Cereales S.A.</w:t>
      </w:r>
    </w:p>
    <w:p w:rsidR="008C454A" w:rsidRPr="00877F94" w:rsidRDefault="00FD706A" w:rsidP="00877F94">
      <w:pPr>
        <w:jc w:val="center"/>
        <w:rPr>
          <w:rFonts w:ascii="Arial" w:hAnsi="Arial" w:cs="Arial"/>
          <w:sz w:val="20"/>
          <w:szCs w:val="22"/>
          <w:lang w:val="pt-BR"/>
        </w:rPr>
      </w:pPr>
      <w:r w:rsidRPr="00877F94">
        <w:rPr>
          <w:rFonts w:ascii="Arial" w:hAnsi="Arial" w:cs="Arial"/>
          <w:sz w:val="20"/>
          <w:szCs w:val="22"/>
          <w:lang w:val="pt-BR"/>
        </w:rPr>
        <w:t xml:space="preserve">* </w:t>
      </w:r>
      <w:proofErr w:type="spellStart"/>
      <w:r w:rsidR="00626A27" w:rsidRPr="00877F94">
        <w:rPr>
          <w:rFonts w:ascii="Arial" w:hAnsi="Arial" w:cs="Arial"/>
          <w:sz w:val="20"/>
          <w:szCs w:val="22"/>
          <w:lang w:val="pt-BR"/>
        </w:rPr>
        <w:t>Contacto</w:t>
      </w:r>
      <w:proofErr w:type="spellEnd"/>
      <w:r w:rsidRPr="00877F94">
        <w:rPr>
          <w:rFonts w:ascii="Arial" w:hAnsi="Arial" w:cs="Arial"/>
          <w:sz w:val="20"/>
          <w:szCs w:val="22"/>
          <w:lang w:val="pt-BR"/>
        </w:rPr>
        <w:t xml:space="preserve">: </w:t>
      </w:r>
      <w:hyperlink r:id="rId6" w:history="1">
        <w:r w:rsidR="00BF3BA1" w:rsidRPr="00877F94">
          <w:rPr>
            <w:rStyle w:val="Hipervnculo"/>
            <w:rFonts w:ascii="Arial" w:hAnsi="Arial" w:cs="Arial"/>
            <w:sz w:val="20"/>
            <w:szCs w:val="22"/>
            <w:lang w:val="pt-BR"/>
          </w:rPr>
          <w:t>ferraris.gustavo@inta.gob.ar</w:t>
        </w:r>
      </w:hyperlink>
    </w:p>
    <w:p w:rsidR="00001E98" w:rsidRPr="00877F94" w:rsidRDefault="00001E98" w:rsidP="00FD706A">
      <w:pPr>
        <w:jc w:val="center"/>
        <w:rPr>
          <w:rFonts w:ascii="Arial" w:hAnsi="Arial" w:cs="Arial"/>
          <w:b/>
          <w:sz w:val="22"/>
          <w:szCs w:val="22"/>
          <w:lang w:val="pt-BR"/>
        </w:rPr>
      </w:pPr>
    </w:p>
    <w:p w:rsidR="00877F94" w:rsidRPr="00877F94" w:rsidRDefault="00877F94" w:rsidP="00FD706A">
      <w:pPr>
        <w:jc w:val="center"/>
        <w:rPr>
          <w:rFonts w:ascii="Arial" w:hAnsi="Arial" w:cs="Arial"/>
          <w:b/>
          <w:sz w:val="22"/>
          <w:szCs w:val="22"/>
          <w:lang w:val="pt-BR"/>
        </w:rPr>
      </w:pPr>
    </w:p>
    <w:p w:rsidR="0008754C" w:rsidRPr="005C5C10" w:rsidRDefault="0022296B" w:rsidP="00FD706A">
      <w:pPr>
        <w:jc w:val="both"/>
        <w:rPr>
          <w:rFonts w:ascii="Arial" w:hAnsi="Arial" w:cs="Arial"/>
          <w:b/>
          <w:szCs w:val="22"/>
          <w:lang w:val="es-AR"/>
        </w:rPr>
      </w:pPr>
      <w:r w:rsidRPr="005C5C10">
        <w:rPr>
          <w:rFonts w:ascii="Arial" w:hAnsi="Arial" w:cs="Arial"/>
          <w:b/>
          <w:szCs w:val="22"/>
          <w:lang w:val="es-AR"/>
        </w:rPr>
        <w:t>INTRODUCCIÓN</w:t>
      </w:r>
    </w:p>
    <w:p w:rsidR="003D7E93" w:rsidRPr="0022296B" w:rsidRDefault="0008754C" w:rsidP="00FD706A">
      <w:pPr>
        <w:jc w:val="both"/>
        <w:rPr>
          <w:rFonts w:ascii="Arial" w:hAnsi="Arial" w:cs="Arial"/>
          <w:sz w:val="22"/>
          <w:szCs w:val="22"/>
        </w:rPr>
      </w:pPr>
      <w:r w:rsidRPr="0022296B">
        <w:rPr>
          <w:rFonts w:ascii="Arial" w:hAnsi="Arial" w:cs="Arial"/>
          <w:sz w:val="22"/>
          <w:szCs w:val="22"/>
        </w:rPr>
        <w:t>A nivel productivo, las deficiencias de nitrógeno (N)</w:t>
      </w:r>
      <w:r w:rsidR="00D5638D" w:rsidRPr="0022296B">
        <w:rPr>
          <w:rFonts w:ascii="Arial" w:hAnsi="Arial" w:cs="Arial"/>
          <w:sz w:val="22"/>
          <w:szCs w:val="22"/>
        </w:rPr>
        <w:t xml:space="preserve">, </w:t>
      </w:r>
      <w:r w:rsidRPr="0022296B">
        <w:rPr>
          <w:rFonts w:ascii="Arial" w:hAnsi="Arial" w:cs="Arial"/>
          <w:sz w:val="22"/>
          <w:szCs w:val="22"/>
        </w:rPr>
        <w:t>fósforo (</w:t>
      </w:r>
      <w:r w:rsidR="00D5638D" w:rsidRPr="0022296B">
        <w:rPr>
          <w:rFonts w:ascii="Arial" w:hAnsi="Arial" w:cs="Arial"/>
          <w:sz w:val="22"/>
          <w:szCs w:val="22"/>
        </w:rPr>
        <w:t>P</w:t>
      </w:r>
      <w:r w:rsidRPr="0022296B">
        <w:rPr>
          <w:rFonts w:ascii="Arial" w:hAnsi="Arial" w:cs="Arial"/>
          <w:sz w:val="22"/>
          <w:szCs w:val="22"/>
        </w:rPr>
        <w:t>)</w:t>
      </w:r>
      <w:r w:rsidR="00D5638D" w:rsidRPr="0022296B">
        <w:rPr>
          <w:rFonts w:ascii="Arial" w:hAnsi="Arial" w:cs="Arial"/>
          <w:sz w:val="22"/>
          <w:szCs w:val="22"/>
        </w:rPr>
        <w:t xml:space="preserve"> y </w:t>
      </w:r>
      <w:r w:rsidRPr="0022296B">
        <w:rPr>
          <w:rFonts w:ascii="Arial" w:hAnsi="Arial" w:cs="Arial"/>
          <w:sz w:val="22"/>
          <w:szCs w:val="22"/>
        </w:rPr>
        <w:t>azufre (</w:t>
      </w:r>
      <w:r w:rsidR="00D5638D" w:rsidRPr="0022296B">
        <w:rPr>
          <w:rFonts w:ascii="Arial" w:hAnsi="Arial" w:cs="Arial"/>
          <w:sz w:val="22"/>
          <w:szCs w:val="22"/>
        </w:rPr>
        <w:t>S</w:t>
      </w:r>
      <w:r w:rsidRPr="0022296B">
        <w:rPr>
          <w:rFonts w:ascii="Arial" w:hAnsi="Arial" w:cs="Arial"/>
          <w:sz w:val="22"/>
          <w:szCs w:val="22"/>
        </w:rPr>
        <w:t>) no ocurren de manera aislada</w:t>
      </w:r>
      <w:r w:rsidR="00622D58" w:rsidRPr="0022296B">
        <w:rPr>
          <w:rFonts w:ascii="Arial" w:hAnsi="Arial" w:cs="Arial"/>
          <w:sz w:val="22"/>
          <w:szCs w:val="22"/>
        </w:rPr>
        <w:t xml:space="preserve"> sino que s</w:t>
      </w:r>
      <w:r w:rsidR="00D5638D" w:rsidRPr="0022296B">
        <w:rPr>
          <w:rFonts w:ascii="Arial" w:hAnsi="Arial" w:cs="Arial"/>
          <w:sz w:val="22"/>
          <w:szCs w:val="22"/>
        </w:rPr>
        <w:t>e combinan de diversas maneras,</w:t>
      </w:r>
      <w:r w:rsidR="002A00B2" w:rsidRPr="0022296B">
        <w:rPr>
          <w:rFonts w:ascii="Arial" w:hAnsi="Arial" w:cs="Arial"/>
          <w:sz w:val="22"/>
          <w:szCs w:val="22"/>
        </w:rPr>
        <w:t xml:space="preserve"> por lo que es necesario evaluar </w:t>
      </w:r>
      <w:r w:rsidRPr="0022296B">
        <w:rPr>
          <w:rFonts w:ascii="Arial" w:hAnsi="Arial" w:cs="Arial"/>
          <w:sz w:val="22"/>
          <w:szCs w:val="22"/>
        </w:rPr>
        <w:t xml:space="preserve">integralmente </w:t>
      </w:r>
      <w:r w:rsidR="002A00B2" w:rsidRPr="0022296B">
        <w:rPr>
          <w:rFonts w:ascii="Arial" w:hAnsi="Arial" w:cs="Arial"/>
          <w:sz w:val="22"/>
          <w:szCs w:val="22"/>
        </w:rPr>
        <w:t>la respuesta a la fertilización y conocer</w:t>
      </w:r>
      <w:r w:rsidR="00D5638D" w:rsidRPr="0022296B">
        <w:rPr>
          <w:rFonts w:ascii="Arial" w:hAnsi="Arial" w:cs="Arial"/>
          <w:sz w:val="22"/>
          <w:szCs w:val="22"/>
        </w:rPr>
        <w:t xml:space="preserve"> </w:t>
      </w:r>
      <w:r w:rsidRPr="0022296B">
        <w:rPr>
          <w:rFonts w:ascii="Arial" w:hAnsi="Arial" w:cs="Arial"/>
          <w:sz w:val="22"/>
          <w:szCs w:val="22"/>
        </w:rPr>
        <w:t xml:space="preserve">su efecto sobre la fertilidad </w:t>
      </w:r>
      <w:r w:rsidR="00877F94">
        <w:rPr>
          <w:rFonts w:ascii="Arial" w:hAnsi="Arial" w:cs="Arial"/>
          <w:sz w:val="22"/>
          <w:szCs w:val="22"/>
        </w:rPr>
        <w:t>química</w:t>
      </w:r>
      <w:r w:rsidRPr="0022296B">
        <w:rPr>
          <w:rFonts w:ascii="Arial" w:hAnsi="Arial" w:cs="Arial"/>
          <w:sz w:val="22"/>
          <w:szCs w:val="22"/>
        </w:rPr>
        <w:t xml:space="preserve"> de los suelos. </w:t>
      </w:r>
      <w:r w:rsidR="003F5E7A" w:rsidRPr="0022296B">
        <w:rPr>
          <w:rFonts w:ascii="Arial" w:hAnsi="Arial" w:cs="Arial"/>
          <w:sz w:val="22"/>
          <w:szCs w:val="22"/>
        </w:rPr>
        <w:t xml:space="preserve">Con el propósito de estudiar la evolución en el tiempo de los rendimientos, el balance de nutrientes y las propiedades del suelo se diseñó un ensayo de estrategias de fertilización </w:t>
      </w:r>
      <w:r w:rsidR="003D7E93" w:rsidRPr="0022296B">
        <w:rPr>
          <w:rFonts w:ascii="Arial" w:hAnsi="Arial" w:cs="Arial"/>
          <w:sz w:val="22"/>
          <w:szCs w:val="22"/>
        </w:rPr>
        <w:t xml:space="preserve">NPS </w:t>
      </w:r>
      <w:r w:rsidR="003F5E7A" w:rsidRPr="0022296B">
        <w:rPr>
          <w:rFonts w:ascii="Arial" w:hAnsi="Arial" w:cs="Arial"/>
          <w:sz w:val="22"/>
          <w:szCs w:val="22"/>
        </w:rPr>
        <w:t xml:space="preserve">en la secuencia </w:t>
      </w:r>
      <w:r w:rsidR="00F03C34" w:rsidRPr="0022296B">
        <w:rPr>
          <w:rFonts w:ascii="Arial" w:hAnsi="Arial" w:cs="Arial"/>
          <w:sz w:val="22"/>
          <w:szCs w:val="22"/>
        </w:rPr>
        <w:t>m</w:t>
      </w:r>
      <w:r w:rsidR="003F5E7A" w:rsidRPr="0022296B">
        <w:rPr>
          <w:rFonts w:ascii="Arial" w:hAnsi="Arial" w:cs="Arial"/>
          <w:sz w:val="22"/>
          <w:szCs w:val="22"/>
        </w:rPr>
        <w:t>aíz-</w:t>
      </w:r>
      <w:r w:rsidR="00F03C34" w:rsidRPr="0022296B">
        <w:rPr>
          <w:rFonts w:ascii="Arial" w:hAnsi="Arial" w:cs="Arial"/>
          <w:sz w:val="22"/>
          <w:szCs w:val="22"/>
        </w:rPr>
        <w:t>s</w:t>
      </w:r>
      <w:r w:rsidR="003F5E7A" w:rsidRPr="0022296B">
        <w:rPr>
          <w:rFonts w:ascii="Arial" w:hAnsi="Arial" w:cs="Arial"/>
          <w:sz w:val="22"/>
          <w:szCs w:val="22"/>
        </w:rPr>
        <w:t>oja-</w:t>
      </w:r>
      <w:r w:rsidR="00F03C34" w:rsidRPr="0022296B">
        <w:rPr>
          <w:rFonts w:ascii="Arial" w:hAnsi="Arial" w:cs="Arial"/>
          <w:sz w:val="22"/>
          <w:szCs w:val="22"/>
        </w:rPr>
        <w:t>t</w:t>
      </w:r>
      <w:r w:rsidR="00047B0F" w:rsidRPr="0022296B">
        <w:rPr>
          <w:rFonts w:ascii="Arial" w:hAnsi="Arial" w:cs="Arial"/>
          <w:sz w:val="22"/>
          <w:szCs w:val="22"/>
        </w:rPr>
        <w:t>rigo/</w:t>
      </w:r>
      <w:r w:rsidR="00F03C34" w:rsidRPr="0022296B">
        <w:rPr>
          <w:rFonts w:ascii="Arial" w:hAnsi="Arial" w:cs="Arial"/>
          <w:sz w:val="22"/>
          <w:szCs w:val="22"/>
        </w:rPr>
        <w:t>s</w:t>
      </w:r>
      <w:r w:rsidR="00047B0F" w:rsidRPr="0022296B">
        <w:rPr>
          <w:rFonts w:ascii="Arial" w:hAnsi="Arial" w:cs="Arial"/>
          <w:sz w:val="22"/>
          <w:szCs w:val="22"/>
        </w:rPr>
        <w:t>oja-</w:t>
      </w:r>
      <w:r w:rsidR="00F03C34" w:rsidRPr="0022296B">
        <w:rPr>
          <w:rFonts w:ascii="Arial" w:hAnsi="Arial" w:cs="Arial"/>
          <w:sz w:val="22"/>
          <w:szCs w:val="22"/>
        </w:rPr>
        <w:t>c</w:t>
      </w:r>
      <w:r w:rsidR="003F5E7A" w:rsidRPr="0022296B">
        <w:rPr>
          <w:rFonts w:ascii="Arial" w:hAnsi="Arial" w:cs="Arial"/>
          <w:sz w:val="22"/>
          <w:szCs w:val="22"/>
        </w:rPr>
        <w:t>ebada/</w:t>
      </w:r>
      <w:r w:rsidR="00F03C34" w:rsidRPr="0022296B">
        <w:rPr>
          <w:rFonts w:ascii="Arial" w:hAnsi="Arial" w:cs="Arial"/>
          <w:sz w:val="22"/>
          <w:szCs w:val="22"/>
        </w:rPr>
        <w:t>s</w:t>
      </w:r>
      <w:r w:rsidR="003F5E7A" w:rsidRPr="0022296B">
        <w:rPr>
          <w:rFonts w:ascii="Arial" w:hAnsi="Arial" w:cs="Arial"/>
          <w:sz w:val="22"/>
          <w:szCs w:val="22"/>
        </w:rPr>
        <w:t>oja</w:t>
      </w:r>
      <w:r w:rsidR="008F1BEB" w:rsidRPr="0022296B">
        <w:rPr>
          <w:rFonts w:ascii="Arial" w:hAnsi="Arial" w:cs="Arial"/>
          <w:sz w:val="22"/>
          <w:szCs w:val="22"/>
        </w:rPr>
        <w:t xml:space="preserve"> (</w:t>
      </w:r>
      <w:proofErr w:type="spellStart"/>
      <w:r w:rsidR="008F1BEB" w:rsidRPr="0022296B">
        <w:rPr>
          <w:rFonts w:ascii="Arial" w:hAnsi="Arial" w:cs="Arial"/>
          <w:sz w:val="22"/>
          <w:szCs w:val="22"/>
        </w:rPr>
        <w:t>M</w:t>
      </w:r>
      <w:r w:rsidR="00546D1D" w:rsidRPr="0022296B">
        <w:rPr>
          <w:rFonts w:ascii="Arial" w:hAnsi="Arial" w:cs="Arial"/>
          <w:sz w:val="22"/>
          <w:szCs w:val="22"/>
        </w:rPr>
        <w:t>z</w:t>
      </w:r>
      <w:r w:rsidR="008F1BEB" w:rsidRPr="0022296B">
        <w:rPr>
          <w:rFonts w:ascii="Arial" w:hAnsi="Arial" w:cs="Arial"/>
          <w:sz w:val="22"/>
          <w:szCs w:val="22"/>
        </w:rPr>
        <w:t>-Sj-T</w:t>
      </w:r>
      <w:r w:rsidR="00546D1D" w:rsidRPr="0022296B">
        <w:rPr>
          <w:rFonts w:ascii="Arial" w:hAnsi="Arial" w:cs="Arial"/>
          <w:sz w:val="22"/>
          <w:szCs w:val="22"/>
        </w:rPr>
        <w:t>r</w:t>
      </w:r>
      <w:proofErr w:type="spellEnd"/>
      <w:r w:rsidR="008F1BEB" w:rsidRPr="0022296B">
        <w:rPr>
          <w:rFonts w:ascii="Arial" w:hAnsi="Arial" w:cs="Arial"/>
          <w:sz w:val="22"/>
          <w:szCs w:val="22"/>
        </w:rPr>
        <w:t>/</w:t>
      </w:r>
      <w:proofErr w:type="spellStart"/>
      <w:r w:rsidR="008F1BEB" w:rsidRPr="0022296B">
        <w:rPr>
          <w:rFonts w:ascii="Arial" w:hAnsi="Arial" w:cs="Arial"/>
          <w:sz w:val="22"/>
          <w:szCs w:val="22"/>
        </w:rPr>
        <w:t>Sj</w:t>
      </w:r>
      <w:proofErr w:type="spellEnd"/>
      <w:r w:rsidR="008F1BEB" w:rsidRPr="0022296B">
        <w:rPr>
          <w:rFonts w:ascii="Arial" w:hAnsi="Arial" w:cs="Arial"/>
          <w:sz w:val="22"/>
          <w:szCs w:val="22"/>
        </w:rPr>
        <w:t>-C</w:t>
      </w:r>
      <w:r w:rsidR="00546D1D" w:rsidRPr="0022296B">
        <w:rPr>
          <w:rFonts w:ascii="Arial" w:hAnsi="Arial" w:cs="Arial"/>
          <w:sz w:val="22"/>
          <w:szCs w:val="22"/>
        </w:rPr>
        <w:t>e</w:t>
      </w:r>
      <w:r w:rsidR="008F1BEB" w:rsidRPr="0022296B">
        <w:rPr>
          <w:rFonts w:ascii="Arial" w:hAnsi="Arial" w:cs="Arial"/>
          <w:sz w:val="22"/>
          <w:szCs w:val="22"/>
        </w:rPr>
        <w:t>/</w:t>
      </w:r>
      <w:proofErr w:type="spellStart"/>
      <w:r w:rsidR="008F1BEB" w:rsidRPr="0022296B">
        <w:rPr>
          <w:rFonts w:ascii="Arial" w:hAnsi="Arial" w:cs="Arial"/>
          <w:sz w:val="22"/>
          <w:szCs w:val="22"/>
        </w:rPr>
        <w:t>Sj</w:t>
      </w:r>
      <w:proofErr w:type="spellEnd"/>
      <w:r w:rsidR="008F1BEB" w:rsidRPr="0022296B">
        <w:rPr>
          <w:rFonts w:ascii="Arial" w:hAnsi="Arial" w:cs="Arial"/>
          <w:sz w:val="22"/>
          <w:szCs w:val="22"/>
        </w:rPr>
        <w:t>)</w:t>
      </w:r>
      <w:r w:rsidR="00047B0F" w:rsidRPr="0022296B">
        <w:rPr>
          <w:rFonts w:ascii="Arial" w:hAnsi="Arial" w:cs="Arial"/>
          <w:sz w:val="22"/>
          <w:szCs w:val="22"/>
        </w:rPr>
        <w:t>.</w:t>
      </w:r>
      <w:r w:rsidR="003F5E7A" w:rsidRPr="0022296B">
        <w:rPr>
          <w:rFonts w:ascii="Arial" w:hAnsi="Arial" w:cs="Arial"/>
          <w:sz w:val="22"/>
          <w:szCs w:val="22"/>
        </w:rPr>
        <w:t xml:space="preserve"> </w:t>
      </w:r>
      <w:r w:rsidR="008F1BEB" w:rsidRPr="0022296B">
        <w:rPr>
          <w:rFonts w:ascii="Arial" w:hAnsi="Arial" w:cs="Arial"/>
          <w:sz w:val="22"/>
          <w:szCs w:val="22"/>
        </w:rPr>
        <w:t>El proyecto se inició e</w:t>
      </w:r>
      <w:r w:rsidR="003F5E7A" w:rsidRPr="0022296B">
        <w:rPr>
          <w:rFonts w:ascii="Arial" w:hAnsi="Arial" w:cs="Arial"/>
          <w:sz w:val="22"/>
          <w:szCs w:val="22"/>
        </w:rPr>
        <w:t xml:space="preserve">n la campaña 2006/07, </w:t>
      </w:r>
      <w:r w:rsidR="008F1BEB" w:rsidRPr="0022296B">
        <w:rPr>
          <w:rFonts w:ascii="Arial" w:hAnsi="Arial" w:cs="Arial"/>
          <w:sz w:val="22"/>
          <w:szCs w:val="22"/>
        </w:rPr>
        <w:t xml:space="preserve">con </w:t>
      </w:r>
      <w:r w:rsidR="005F75A0" w:rsidRPr="0022296B">
        <w:rPr>
          <w:rFonts w:ascii="Arial" w:hAnsi="Arial" w:cs="Arial"/>
          <w:sz w:val="22"/>
          <w:szCs w:val="22"/>
        </w:rPr>
        <w:t>m</w:t>
      </w:r>
      <w:r w:rsidR="003F5E7A" w:rsidRPr="0022296B">
        <w:rPr>
          <w:rFonts w:ascii="Arial" w:hAnsi="Arial" w:cs="Arial"/>
          <w:sz w:val="22"/>
          <w:szCs w:val="22"/>
        </w:rPr>
        <w:t>aíz</w:t>
      </w:r>
      <w:r w:rsidR="008F1BEB" w:rsidRPr="0022296B">
        <w:rPr>
          <w:rFonts w:ascii="Arial" w:hAnsi="Arial" w:cs="Arial"/>
          <w:sz w:val="22"/>
          <w:szCs w:val="22"/>
        </w:rPr>
        <w:t xml:space="preserve"> como</w:t>
      </w:r>
      <w:r w:rsidR="003F5E7A" w:rsidRPr="0022296B">
        <w:rPr>
          <w:rFonts w:ascii="Arial" w:hAnsi="Arial" w:cs="Arial"/>
          <w:sz w:val="22"/>
          <w:szCs w:val="22"/>
        </w:rPr>
        <w:t xml:space="preserve"> el primer cultivo</w:t>
      </w:r>
      <w:r w:rsidR="008F1BEB" w:rsidRPr="0022296B">
        <w:rPr>
          <w:rFonts w:ascii="Arial" w:hAnsi="Arial" w:cs="Arial"/>
          <w:sz w:val="22"/>
          <w:szCs w:val="22"/>
        </w:rPr>
        <w:t xml:space="preserve">, llegando a </w:t>
      </w:r>
      <w:r w:rsidR="008714D1">
        <w:rPr>
          <w:rFonts w:ascii="Arial" w:hAnsi="Arial" w:cs="Arial"/>
          <w:sz w:val="22"/>
          <w:szCs w:val="22"/>
        </w:rPr>
        <w:t>catorce</w:t>
      </w:r>
      <w:r w:rsidR="00201B51">
        <w:rPr>
          <w:rFonts w:ascii="Arial" w:hAnsi="Arial" w:cs="Arial"/>
          <w:sz w:val="22"/>
          <w:szCs w:val="22"/>
        </w:rPr>
        <w:t xml:space="preserve"> períodos</w:t>
      </w:r>
      <w:r w:rsidR="008F1BEB" w:rsidRPr="0022296B">
        <w:rPr>
          <w:rFonts w:ascii="Arial" w:hAnsi="Arial" w:cs="Arial"/>
          <w:sz w:val="22"/>
          <w:szCs w:val="22"/>
        </w:rPr>
        <w:t xml:space="preserve"> completos en la campaña 201</w:t>
      </w:r>
      <w:r w:rsidR="008714D1">
        <w:rPr>
          <w:rFonts w:ascii="Arial" w:hAnsi="Arial" w:cs="Arial"/>
          <w:sz w:val="22"/>
          <w:szCs w:val="22"/>
        </w:rPr>
        <w:t>9/20</w:t>
      </w:r>
      <w:r w:rsidR="008F1BEB" w:rsidRPr="0022296B">
        <w:rPr>
          <w:rFonts w:ascii="Arial" w:hAnsi="Arial" w:cs="Arial"/>
          <w:sz w:val="22"/>
          <w:szCs w:val="22"/>
        </w:rPr>
        <w:t>.</w:t>
      </w:r>
      <w:r w:rsidR="003F5E7A" w:rsidRPr="0022296B">
        <w:rPr>
          <w:rFonts w:ascii="Arial" w:hAnsi="Arial" w:cs="Arial"/>
          <w:sz w:val="22"/>
          <w:szCs w:val="22"/>
        </w:rPr>
        <w:t xml:space="preserve"> </w:t>
      </w:r>
      <w:r w:rsidR="00424FD9" w:rsidRPr="0022296B">
        <w:rPr>
          <w:rFonts w:ascii="Arial" w:hAnsi="Arial" w:cs="Arial"/>
          <w:sz w:val="22"/>
          <w:szCs w:val="22"/>
        </w:rPr>
        <w:t xml:space="preserve"> </w:t>
      </w:r>
      <w:r w:rsidR="003D7E93" w:rsidRPr="0022296B">
        <w:rPr>
          <w:rFonts w:ascii="Arial" w:hAnsi="Arial" w:cs="Arial"/>
          <w:sz w:val="22"/>
          <w:szCs w:val="22"/>
        </w:rPr>
        <w:t xml:space="preserve">En este escrito se reporta </w:t>
      </w:r>
      <w:r w:rsidR="00D83529" w:rsidRPr="0022296B">
        <w:rPr>
          <w:rFonts w:ascii="Arial" w:hAnsi="Arial" w:cs="Arial"/>
          <w:sz w:val="22"/>
          <w:szCs w:val="22"/>
        </w:rPr>
        <w:t xml:space="preserve">el efecto de </w:t>
      </w:r>
      <w:r w:rsidR="003D7E93" w:rsidRPr="0022296B">
        <w:rPr>
          <w:rFonts w:ascii="Arial" w:hAnsi="Arial" w:cs="Arial"/>
          <w:sz w:val="22"/>
          <w:szCs w:val="22"/>
        </w:rPr>
        <w:t xml:space="preserve">las </w:t>
      </w:r>
      <w:r w:rsidR="00D83529" w:rsidRPr="0022296B">
        <w:rPr>
          <w:rFonts w:ascii="Arial" w:hAnsi="Arial" w:cs="Arial"/>
          <w:sz w:val="22"/>
          <w:szCs w:val="22"/>
        </w:rPr>
        <w:t xml:space="preserve">diferentes estrategias de fertilización </w:t>
      </w:r>
      <w:r w:rsidR="003D7E93" w:rsidRPr="0022296B">
        <w:rPr>
          <w:rFonts w:ascii="Arial" w:hAnsi="Arial" w:cs="Arial"/>
          <w:sz w:val="22"/>
          <w:szCs w:val="22"/>
        </w:rPr>
        <w:t xml:space="preserve">NPS </w:t>
      </w:r>
      <w:r w:rsidR="00D83529" w:rsidRPr="0022296B">
        <w:rPr>
          <w:rFonts w:ascii="Arial" w:hAnsi="Arial" w:cs="Arial"/>
          <w:sz w:val="22"/>
          <w:szCs w:val="22"/>
        </w:rPr>
        <w:t>sobre</w:t>
      </w:r>
      <w:r w:rsidR="003D7E93" w:rsidRPr="0022296B">
        <w:rPr>
          <w:rFonts w:ascii="Arial" w:hAnsi="Arial" w:cs="Arial"/>
          <w:sz w:val="22"/>
          <w:szCs w:val="22"/>
        </w:rPr>
        <w:t xml:space="preserve">: 1) </w:t>
      </w:r>
      <w:r w:rsidR="00201B51">
        <w:rPr>
          <w:rFonts w:ascii="Arial" w:hAnsi="Arial" w:cs="Arial"/>
          <w:sz w:val="22"/>
          <w:szCs w:val="22"/>
        </w:rPr>
        <w:t>los rendimientos anuales d</w:t>
      </w:r>
      <w:r w:rsidR="00FB6AFB">
        <w:rPr>
          <w:rFonts w:ascii="Arial" w:hAnsi="Arial" w:cs="Arial"/>
          <w:sz w:val="22"/>
          <w:szCs w:val="22"/>
        </w:rPr>
        <w:t>urante el período 2006/07 a 201</w:t>
      </w:r>
      <w:r w:rsidR="008714D1">
        <w:rPr>
          <w:rFonts w:ascii="Arial" w:hAnsi="Arial" w:cs="Arial"/>
          <w:sz w:val="22"/>
          <w:szCs w:val="22"/>
        </w:rPr>
        <w:t>9/20</w:t>
      </w:r>
      <w:r w:rsidR="008F1BEB" w:rsidRPr="0022296B">
        <w:rPr>
          <w:rFonts w:ascii="Arial" w:hAnsi="Arial" w:cs="Arial"/>
          <w:sz w:val="22"/>
          <w:szCs w:val="22"/>
        </w:rPr>
        <w:t>;</w:t>
      </w:r>
      <w:r w:rsidR="00D83529" w:rsidRPr="0022296B">
        <w:rPr>
          <w:rFonts w:ascii="Arial" w:hAnsi="Arial" w:cs="Arial"/>
          <w:sz w:val="22"/>
          <w:szCs w:val="22"/>
        </w:rPr>
        <w:t xml:space="preserve"> 2</w:t>
      </w:r>
      <w:r w:rsidR="008F1BEB" w:rsidRPr="0022296B">
        <w:rPr>
          <w:rFonts w:ascii="Arial" w:hAnsi="Arial" w:cs="Arial"/>
          <w:sz w:val="22"/>
          <w:szCs w:val="22"/>
        </w:rPr>
        <w:t>)</w:t>
      </w:r>
      <w:r w:rsidR="00D83529" w:rsidRPr="0022296B">
        <w:rPr>
          <w:rFonts w:ascii="Arial" w:hAnsi="Arial" w:cs="Arial"/>
          <w:sz w:val="22"/>
          <w:szCs w:val="22"/>
        </w:rPr>
        <w:t xml:space="preserve"> </w:t>
      </w:r>
      <w:r w:rsidR="003D7E93" w:rsidRPr="0022296B">
        <w:rPr>
          <w:rFonts w:ascii="Arial" w:hAnsi="Arial" w:cs="Arial"/>
          <w:sz w:val="22"/>
          <w:szCs w:val="22"/>
        </w:rPr>
        <w:t xml:space="preserve">los rendimientos acumulados, el balance de nutrientes y su nivel final en el suelo luego de </w:t>
      </w:r>
      <w:r w:rsidR="008714D1">
        <w:rPr>
          <w:rFonts w:ascii="Arial" w:hAnsi="Arial" w:cs="Arial"/>
          <w:sz w:val="22"/>
          <w:szCs w:val="22"/>
        </w:rPr>
        <w:t>catorce</w:t>
      </w:r>
      <w:r w:rsidR="00201B51">
        <w:rPr>
          <w:rFonts w:ascii="Arial" w:hAnsi="Arial" w:cs="Arial"/>
          <w:sz w:val="22"/>
          <w:szCs w:val="22"/>
        </w:rPr>
        <w:t xml:space="preserve"> años</w:t>
      </w:r>
      <w:r w:rsidR="003D7E93" w:rsidRPr="0022296B">
        <w:rPr>
          <w:rFonts w:ascii="Arial" w:hAnsi="Arial" w:cs="Arial"/>
          <w:sz w:val="22"/>
          <w:szCs w:val="22"/>
        </w:rPr>
        <w:t xml:space="preserve"> </w:t>
      </w:r>
      <w:proofErr w:type="spellStart"/>
      <w:r w:rsidR="003D7E93" w:rsidRPr="0022296B">
        <w:rPr>
          <w:rFonts w:ascii="Arial" w:hAnsi="Arial" w:cs="Arial"/>
          <w:sz w:val="22"/>
          <w:szCs w:val="22"/>
        </w:rPr>
        <w:t>años</w:t>
      </w:r>
      <w:proofErr w:type="spellEnd"/>
      <w:r w:rsidR="003D7E93" w:rsidRPr="0022296B">
        <w:rPr>
          <w:rFonts w:ascii="Arial" w:hAnsi="Arial" w:cs="Arial"/>
          <w:sz w:val="22"/>
          <w:szCs w:val="22"/>
        </w:rPr>
        <w:t xml:space="preserve"> (2006/07-201</w:t>
      </w:r>
      <w:r w:rsidR="008714D1">
        <w:rPr>
          <w:rFonts w:ascii="Arial" w:hAnsi="Arial" w:cs="Arial"/>
          <w:sz w:val="22"/>
          <w:szCs w:val="22"/>
        </w:rPr>
        <w:t>9</w:t>
      </w:r>
      <w:r w:rsidR="00FB6AFB">
        <w:rPr>
          <w:rFonts w:ascii="Arial" w:hAnsi="Arial" w:cs="Arial"/>
          <w:sz w:val="22"/>
          <w:szCs w:val="22"/>
        </w:rPr>
        <w:t>/</w:t>
      </w:r>
      <w:r w:rsidR="008714D1">
        <w:rPr>
          <w:rFonts w:ascii="Arial" w:hAnsi="Arial" w:cs="Arial"/>
          <w:sz w:val="22"/>
          <w:szCs w:val="22"/>
        </w:rPr>
        <w:t>20</w:t>
      </w:r>
      <w:r w:rsidR="003D7E93" w:rsidRPr="0022296B">
        <w:rPr>
          <w:rFonts w:ascii="Arial" w:hAnsi="Arial" w:cs="Arial"/>
          <w:sz w:val="22"/>
          <w:szCs w:val="22"/>
        </w:rPr>
        <w:t>); 3) la eficiencia de recuperación de P; y 4) la rentabilidad.</w:t>
      </w:r>
    </w:p>
    <w:p w:rsidR="00001E98" w:rsidRPr="0022296B" w:rsidRDefault="00001E98" w:rsidP="00FD706A">
      <w:pPr>
        <w:jc w:val="both"/>
        <w:rPr>
          <w:rFonts w:ascii="Arial" w:hAnsi="Arial" w:cs="Arial"/>
          <w:sz w:val="22"/>
          <w:szCs w:val="22"/>
        </w:rPr>
      </w:pPr>
    </w:p>
    <w:p w:rsidR="00001E98" w:rsidRPr="0022296B" w:rsidRDefault="0022296B" w:rsidP="00FD706A">
      <w:pPr>
        <w:jc w:val="both"/>
        <w:rPr>
          <w:rFonts w:ascii="Arial" w:hAnsi="Arial" w:cs="Arial"/>
          <w:b/>
          <w:szCs w:val="22"/>
        </w:rPr>
      </w:pPr>
      <w:r w:rsidRPr="0022296B">
        <w:rPr>
          <w:rFonts w:ascii="Arial" w:hAnsi="Arial" w:cs="Arial"/>
          <w:b/>
          <w:szCs w:val="22"/>
        </w:rPr>
        <w:t>MATERIALES Y MÉTODOS</w:t>
      </w:r>
    </w:p>
    <w:p w:rsidR="00A96627" w:rsidRPr="00877F94" w:rsidRDefault="00001E98" w:rsidP="00A96627">
      <w:pPr>
        <w:jc w:val="both"/>
        <w:rPr>
          <w:rFonts w:ascii="Arial" w:hAnsi="Arial" w:cs="Arial"/>
          <w:sz w:val="22"/>
          <w:szCs w:val="22"/>
          <w:lang w:val="es-ES_tradnl"/>
        </w:rPr>
      </w:pPr>
      <w:r w:rsidRPr="0022296B">
        <w:rPr>
          <w:rFonts w:ascii="Arial" w:hAnsi="Arial" w:cs="Arial"/>
          <w:sz w:val="22"/>
          <w:szCs w:val="22"/>
          <w:lang w:val="es-ES_tradnl"/>
        </w:rPr>
        <w:t xml:space="preserve">El ensayo </w:t>
      </w:r>
      <w:r w:rsidR="003F5E7A" w:rsidRPr="0022296B">
        <w:rPr>
          <w:rFonts w:ascii="Arial" w:hAnsi="Arial" w:cs="Arial"/>
          <w:sz w:val="22"/>
          <w:szCs w:val="22"/>
          <w:lang w:val="es-ES_tradnl"/>
        </w:rPr>
        <w:t>es</w:t>
      </w:r>
      <w:r w:rsidR="00D5638D" w:rsidRPr="0022296B">
        <w:rPr>
          <w:rFonts w:ascii="Arial" w:hAnsi="Arial" w:cs="Arial"/>
          <w:sz w:val="22"/>
          <w:szCs w:val="22"/>
          <w:lang w:val="es-ES_tradnl"/>
        </w:rPr>
        <w:t xml:space="preserve"> conducido en la localidad de Arribeños, partido de General Arenales. </w:t>
      </w:r>
      <w:r w:rsidR="00D5638D" w:rsidRPr="0022296B">
        <w:rPr>
          <w:rFonts w:ascii="Arial" w:hAnsi="Arial" w:cs="Arial"/>
          <w:sz w:val="22"/>
          <w:szCs w:val="22"/>
        </w:rPr>
        <w:t xml:space="preserve">Se </w:t>
      </w:r>
      <w:r w:rsidR="003F5E7A" w:rsidRPr="0022296B">
        <w:rPr>
          <w:rFonts w:ascii="Arial" w:hAnsi="Arial" w:cs="Arial"/>
          <w:sz w:val="22"/>
          <w:szCs w:val="22"/>
        </w:rPr>
        <w:t>plantea</w:t>
      </w:r>
      <w:r w:rsidR="00D5638D" w:rsidRPr="0022296B">
        <w:rPr>
          <w:rFonts w:ascii="Arial" w:hAnsi="Arial" w:cs="Arial"/>
          <w:sz w:val="22"/>
          <w:szCs w:val="22"/>
        </w:rPr>
        <w:t xml:space="preserve"> </w:t>
      </w:r>
      <w:r w:rsidR="00386DA2" w:rsidRPr="0022296B">
        <w:rPr>
          <w:rFonts w:ascii="Arial" w:hAnsi="Arial" w:cs="Arial"/>
          <w:sz w:val="22"/>
          <w:szCs w:val="22"/>
        </w:rPr>
        <w:t xml:space="preserve">en </w:t>
      </w:r>
      <w:r w:rsidR="00D5638D" w:rsidRPr="0022296B">
        <w:rPr>
          <w:rFonts w:ascii="Arial" w:hAnsi="Arial" w:cs="Arial"/>
          <w:sz w:val="22"/>
          <w:szCs w:val="22"/>
        </w:rPr>
        <w:t>un diseño en bloques a</w:t>
      </w:r>
      <w:r w:rsidR="00D83529" w:rsidRPr="0022296B">
        <w:rPr>
          <w:rFonts w:ascii="Arial" w:hAnsi="Arial" w:cs="Arial"/>
          <w:sz w:val="22"/>
          <w:szCs w:val="22"/>
        </w:rPr>
        <w:t xml:space="preserve">l azar, con cuatro repeticiones, integrando </w:t>
      </w:r>
      <w:r w:rsidR="00D5638D" w:rsidRPr="0022296B">
        <w:rPr>
          <w:rFonts w:ascii="Arial" w:hAnsi="Arial" w:cs="Arial"/>
          <w:sz w:val="22"/>
          <w:szCs w:val="22"/>
        </w:rPr>
        <w:t>una rotación</w:t>
      </w:r>
      <w:r w:rsidR="00386DA2" w:rsidRPr="0022296B">
        <w:rPr>
          <w:rFonts w:ascii="Arial" w:hAnsi="Arial" w:cs="Arial"/>
          <w:sz w:val="22"/>
          <w:szCs w:val="22"/>
        </w:rPr>
        <w:t xml:space="preserve"> </w:t>
      </w:r>
      <w:r w:rsidR="00424FD9" w:rsidRPr="0022296B">
        <w:rPr>
          <w:rFonts w:ascii="Arial" w:hAnsi="Arial" w:cs="Arial"/>
          <w:sz w:val="22"/>
          <w:szCs w:val="22"/>
        </w:rPr>
        <w:t>de seis cultivos en cuatro años</w:t>
      </w:r>
      <w:r w:rsidR="00386DA2" w:rsidRPr="0022296B">
        <w:rPr>
          <w:rFonts w:ascii="Arial" w:hAnsi="Arial" w:cs="Arial"/>
          <w:sz w:val="22"/>
          <w:szCs w:val="22"/>
        </w:rPr>
        <w:t xml:space="preserve"> (M-</w:t>
      </w:r>
      <w:proofErr w:type="spellStart"/>
      <w:r w:rsidR="00386DA2" w:rsidRPr="0022296B">
        <w:rPr>
          <w:rFonts w:ascii="Arial" w:hAnsi="Arial" w:cs="Arial"/>
          <w:sz w:val="22"/>
          <w:szCs w:val="22"/>
        </w:rPr>
        <w:t>Sj</w:t>
      </w:r>
      <w:proofErr w:type="spellEnd"/>
      <w:r w:rsidR="00386DA2" w:rsidRPr="0022296B">
        <w:rPr>
          <w:rFonts w:ascii="Arial" w:hAnsi="Arial" w:cs="Arial"/>
          <w:sz w:val="22"/>
          <w:szCs w:val="22"/>
        </w:rPr>
        <w:t>-T/</w:t>
      </w:r>
      <w:proofErr w:type="spellStart"/>
      <w:r w:rsidR="00386DA2" w:rsidRPr="0022296B">
        <w:rPr>
          <w:rFonts w:ascii="Arial" w:hAnsi="Arial" w:cs="Arial"/>
          <w:sz w:val="22"/>
          <w:szCs w:val="22"/>
        </w:rPr>
        <w:t>Sj</w:t>
      </w:r>
      <w:proofErr w:type="spellEnd"/>
      <w:r w:rsidR="00386DA2" w:rsidRPr="0022296B">
        <w:rPr>
          <w:rFonts w:ascii="Arial" w:hAnsi="Arial" w:cs="Arial"/>
          <w:sz w:val="22"/>
          <w:szCs w:val="22"/>
        </w:rPr>
        <w:t>-C/</w:t>
      </w:r>
      <w:proofErr w:type="spellStart"/>
      <w:r w:rsidR="00386DA2" w:rsidRPr="0022296B">
        <w:rPr>
          <w:rFonts w:ascii="Arial" w:hAnsi="Arial" w:cs="Arial"/>
          <w:sz w:val="22"/>
          <w:szCs w:val="22"/>
        </w:rPr>
        <w:t>Sj</w:t>
      </w:r>
      <w:proofErr w:type="spellEnd"/>
      <w:r w:rsidR="00386DA2" w:rsidRPr="0022296B">
        <w:rPr>
          <w:rFonts w:ascii="Arial" w:hAnsi="Arial" w:cs="Arial"/>
          <w:sz w:val="22"/>
          <w:szCs w:val="22"/>
        </w:rPr>
        <w:t>)</w:t>
      </w:r>
      <w:r w:rsidR="00D5638D" w:rsidRPr="0022296B">
        <w:rPr>
          <w:rFonts w:ascii="Arial" w:hAnsi="Arial" w:cs="Arial"/>
          <w:sz w:val="22"/>
          <w:szCs w:val="22"/>
        </w:rPr>
        <w:t>.</w:t>
      </w:r>
      <w:r w:rsidR="003D7E93" w:rsidRPr="0022296B">
        <w:rPr>
          <w:rFonts w:ascii="Arial" w:hAnsi="Arial" w:cs="Arial"/>
          <w:sz w:val="22"/>
          <w:szCs w:val="22"/>
        </w:rPr>
        <w:t xml:space="preserve"> Cabe aclarar que en </w:t>
      </w:r>
      <w:r w:rsidR="003D7E93" w:rsidRPr="0022296B">
        <w:rPr>
          <w:rFonts w:ascii="Arial" w:hAnsi="Arial" w:cs="Arial"/>
          <w:sz w:val="22"/>
          <w:szCs w:val="22"/>
          <w:lang w:val="es-ES_tradnl"/>
        </w:rPr>
        <w:t>el segundo ciclo de la rotación se cambió Trigo/Soja por Cebada/Soja en el orden.</w:t>
      </w:r>
      <w:r w:rsidR="003D7E93" w:rsidRPr="0022296B">
        <w:rPr>
          <w:rFonts w:ascii="Arial" w:hAnsi="Arial" w:cs="Arial"/>
        </w:rPr>
        <w:t xml:space="preserve"> </w:t>
      </w:r>
      <w:r w:rsidR="003F5E7A" w:rsidRPr="0022296B">
        <w:rPr>
          <w:rFonts w:ascii="Arial" w:hAnsi="Arial" w:cs="Arial"/>
          <w:sz w:val="22"/>
          <w:szCs w:val="22"/>
        </w:rPr>
        <w:t xml:space="preserve">El inicio de la secuencia se realizó con el cultivo de </w:t>
      </w:r>
      <w:r w:rsidR="004B2566" w:rsidRPr="0022296B">
        <w:rPr>
          <w:rFonts w:ascii="Arial" w:hAnsi="Arial" w:cs="Arial"/>
          <w:sz w:val="22"/>
          <w:szCs w:val="22"/>
        </w:rPr>
        <w:t>m</w:t>
      </w:r>
      <w:r w:rsidR="003F5E7A" w:rsidRPr="0022296B">
        <w:rPr>
          <w:rFonts w:ascii="Arial" w:hAnsi="Arial" w:cs="Arial"/>
          <w:sz w:val="22"/>
          <w:szCs w:val="22"/>
        </w:rPr>
        <w:t>aíz</w:t>
      </w:r>
      <w:r w:rsidR="00725716" w:rsidRPr="0022296B">
        <w:rPr>
          <w:rFonts w:ascii="Arial" w:hAnsi="Arial" w:cs="Arial"/>
          <w:sz w:val="22"/>
          <w:szCs w:val="22"/>
        </w:rPr>
        <w:t>, durante la campaña 2006</w:t>
      </w:r>
      <w:r w:rsidR="00386DA2" w:rsidRPr="0022296B">
        <w:rPr>
          <w:rFonts w:ascii="Arial" w:hAnsi="Arial" w:cs="Arial"/>
          <w:sz w:val="22"/>
          <w:szCs w:val="22"/>
        </w:rPr>
        <w:t>/</w:t>
      </w:r>
      <w:r w:rsidR="00725716" w:rsidRPr="0022296B">
        <w:rPr>
          <w:rFonts w:ascii="Arial" w:hAnsi="Arial" w:cs="Arial"/>
          <w:sz w:val="22"/>
          <w:szCs w:val="22"/>
        </w:rPr>
        <w:t>07</w:t>
      </w:r>
      <w:r w:rsidR="00386DA2" w:rsidRPr="0022296B">
        <w:rPr>
          <w:rFonts w:ascii="Arial" w:hAnsi="Arial" w:cs="Arial"/>
          <w:sz w:val="22"/>
          <w:szCs w:val="22"/>
        </w:rPr>
        <w:t xml:space="preserve">, </w:t>
      </w:r>
      <w:r w:rsidR="00140A1C">
        <w:rPr>
          <w:rFonts w:ascii="Arial" w:hAnsi="Arial" w:cs="Arial"/>
          <w:sz w:val="22"/>
          <w:szCs w:val="22"/>
        </w:rPr>
        <w:t xml:space="preserve">llegando al </w:t>
      </w:r>
      <w:r w:rsidR="008714D1">
        <w:rPr>
          <w:rFonts w:ascii="Arial" w:hAnsi="Arial" w:cs="Arial"/>
          <w:sz w:val="22"/>
          <w:szCs w:val="22"/>
        </w:rPr>
        <w:t>decimocuarto</w:t>
      </w:r>
      <w:r w:rsidR="00140A1C">
        <w:rPr>
          <w:rFonts w:ascii="Arial" w:hAnsi="Arial" w:cs="Arial"/>
          <w:sz w:val="22"/>
          <w:szCs w:val="22"/>
        </w:rPr>
        <w:t xml:space="preserve"> </w:t>
      </w:r>
      <w:r w:rsidR="00201B51">
        <w:rPr>
          <w:rFonts w:ascii="Arial" w:hAnsi="Arial" w:cs="Arial"/>
          <w:sz w:val="22"/>
          <w:szCs w:val="22"/>
        </w:rPr>
        <w:t xml:space="preserve">año </w:t>
      </w:r>
      <w:r w:rsidR="008714D1">
        <w:rPr>
          <w:rFonts w:ascii="Arial" w:hAnsi="Arial" w:cs="Arial"/>
          <w:sz w:val="22"/>
          <w:szCs w:val="22"/>
        </w:rPr>
        <w:t xml:space="preserve">en </w:t>
      </w:r>
      <w:r w:rsidR="00201B51">
        <w:rPr>
          <w:rFonts w:ascii="Arial" w:hAnsi="Arial" w:cs="Arial"/>
          <w:sz w:val="22"/>
          <w:szCs w:val="22"/>
        </w:rPr>
        <w:t>201</w:t>
      </w:r>
      <w:r w:rsidR="008714D1">
        <w:rPr>
          <w:rFonts w:ascii="Arial" w:hAnsi="Arial" w:cs="Arial"/>
          <w:sz w:val="22"/>
          <w:szCs w:val="22"/>
        </w:rPr>
        <w:t>9/20</w:t>
      </w:r>
      <w:r w:rsidR="00140A1C">
        <w:rPr>
          <w:rFonts w:ascii="Arial" w:hAnsi="Arial" w:cs="Arial"/>
          <w:sz w:val="22"/>
          <w:szCs w:val="22"/>
        </w:rPr>
        <w:t xml:space="preserve"> </w:t>
      </w:r>
      <w:r w:rsidR="00956635">
        <w:rPr>
          <w:rFonts w:ascii="Arial" w:hAnsi="Arial" w:cs="Arial"/>
          <w:sz w:val="22"/>
          <w:szCs w:val="22"/>
        </w:rPr>
        <w:t>con el doble cultivo Trigo/Sj2</w:t>
      </w:r>
      <w:r w:rsidR="003F5E7A" w:rsidRPr="0022296B">
        <w:rPr>
          <w:rFonts w:ascii="Arial" w:hAnsi="Arial" w:cs="Arial"/>
          <w:sz w:val="22"/>
          <w:szCs w:val="22"/>
        </w:rPr>
        <w:t>.</w:t>
      </w:r>
      <w:r w:rsidR="00386DA2" w:rsidRPr="0022296B">
        <w:rPr>
          <w:rFonts w:ascii="Arial" w:hAnsi="Arial" w:cs="Arial"/>
          <w:sz w:val="22"/>
          <w:szCs w:val="22"/>
        </w:rPr>
        <w:t xml:space="preserve"> </w:t>
      </w:r>
      <w:r w:rsidR="00424FD9" w:rsidRPr="0022296B">
        <w:rPr>
          <w:rFonts w:ascii="Arial" w:hAnsi="Arial" w:cs="Arial"/>
          <w:sz w:val="22"/>
          <w:szCs w:val="22"/>
          <w:lang w:val="es-ES_tradnl"/>
        </w:rPr>
        <w:t>Los</w:t>
      </w:r>
      <w:r w:rsidR="00386DA2" w:rsidRPr="0022296B">
        <w:rPr>
          <w:rFonts w:ascii="Arial" w:hAnsi="Arial" w:cs="Arial"/>
          <w:sz w:val="22"/>
          <w:szCs w:val="22"/>
          <w:lang w:val="es-ES_tradnl"/>
        </w:rPr>
        <w:t xml:space="preserve"> tratamientos implican cinco manejos </w:t>
      </w:r>
      <w:r w:rsidR="003D7E93" w:rsidRPr="0022296B">
        <w:rPr>
          <w:rFonts w:ascii="Arial" w:hAnsi="Arial" w:cs="Arial"/>
          <w:sz w:val="22"/>
          <w:szCs w:val="22"/>
          <w:lang w:val="es-ES_tradnl"/>
        </w:rPr>
        <w:t xml:space="preserve">diferentes </w:t>
      </w:r>
      <w:r w:rsidR="00386DA2" w:rsidRPr="0022296B">
        <w:rPr>
          <w:rFonts w:ascii="Arial" w:hAnsi="Arial" w:cs="Arial"/>
          <w:sz w:val="22"/>
          <w:szCs w:val="22"/>
          <w:lang w:val="es-ES_tradnl"/>
        </w:rPr>
        <w:t>de fertilización, donde los</w:t>
      </w:r>
      <w:r w:rsidR="00424FD9" w:rsidRPr="0022296B">
        <w:rPr>
          <w:rFonts w:ascii="Arial" w:hAnsi="Arial" w:cs="Arial"/>
          <w:sz w:val="22"/>
          <w:szCs w:val="22"/>
          <w:lang w:val="es-ES_tradnl"/>
        </w:rPr>
        <w:t xml:space="preserve"> ferti</w:t>
      </w:r>
      <w:r w:rsidR="006D240F" w:rsidRPr="0022296B">
        <w:rPr>
          <w:rFonts w:ascii="Arial" w:hAnsi="Arial" w:cs="Arial"/>
          <w:sz w:val="22"/>
          <w:szCs w:val="22"/>
          <w:lang w:val="es-ES_tradnl"/>
        </w:rPr>
        <w:t xml:space="preserve">lizantes </w:t>
      </w:r>
      <w:r w:rsidR="00386DA2" w:rsidRPr="0022296B">
        <w:rPr>
          <w:rFonts w:ascii="Arial" w:hAnsi="Arial" w:cs="Arial"/>
          <w:sz w:val="22"/>
          <w:szCs w:val="22"/>
          <w:lang w:val="es-ES_tradnl"/>
        </w:rPr>
        <w:t>s</w:t>
      </w:r>
      <w:r w:rsidR="006D240F" w:rsidRPr="0022296B">
        <w:rPr>
          <w:rFonts w:ascii="Arial" w:hAnsi="Arial" w:cs="Arial"/>
          <w:sz w:val="22"/>
          <w:szCs w:val="22"/>
          <w:lang w:val="es-ES_tradnl"/>
        </w:rPr>
        <w:t xml:space="preserve">on agregados </w:t>
      </w:r>
      <w:r w:rsidR="00916BC7" w:rsidRPr="0022296B">
        <w:rPr>
          <w:rFonts w:ascii="Arial" w:hAnsi="Arial" w:cs="Arial"/>
          <w:sz w:val="22"/>
          <w:szCs w:val="22"/>
          <w:lang w:val="es-ES_tradnl"/>
        </w:rPr>
        <w:t xml:space="preserve">en cobertura total </w:t>
      </w:r>
      <w:r w:rsidR="00386DA2" w:rsidRPr="0022296B">
        <w:rPr>
          <w:rFonts w:ascii="Arial" w:hAnsi="Arial" w:cs="Arial"/>
          <w:sz w:val="22"/>
          <w:szCs w:val="22"/>
          <w:lang w:val="es-ES_tradnl"/>
        </w:rPr>
        <w:t>a</w:t>
      </w:r>
      <w:r w:rsidR="006D240F" w:rsidRPr="0022296B">
        <w:rPr>
          <w:rFonts w:ascii="Arial" w:hAnsi="Arial" w:cs="Arial"/>
          <w:sz w:val="22"/>
          <w:szCs w:val="22"/>
          <w:lang w:val="es-ES_tradnl"/>
        </w:rPr>
        <w:t>l</w:t>
      </w:r>
      <w:r w:rsidR="00386DA2" w:rsidRPr="0022296B">
        <w:rPr>
          <w:rFonts w:ascii="Arial" w:hAnsi="Arial" w:cs="Arial"/>
          <w:sz w:val="22"/>
          <w:szCs w:val="22"/>
          <w:lang w:val="es-ES_tradnl"/>
        </w:rPr>
        <w:t xml:space="preserve"> momento de la</w:t>
      </w:r>
      <w:r w:rsidR="006D240F" w:rsidRPr="0022296B">
        <w:rPr>
          <w:rFonts w:ascii="Arial" w:hAnsi="Arial" w:cs="Arial"/>
          <w:sz w:val="22"/>
          <w:szCs w:val="22"/>
          <w:lang w:val="es-ES_tradnl"/>
        </w:rPr>
        <w:t xml:space="preserve"> siembra</w:t>
      </w:r>
      <w:r w:rsidR="00386DA2" w:rsidRPr="0022296B">
        <w:rPr>
          <w:rFonts w:ascii="Arial" w:hAnsi="Arial" w:cs="Arial"/>
          <w:sz w:val="22"/>
          <w:szCs w:val="22"/>
          <w:lang w:val="es-ES_tradnl"/>
        </w:rPr>
        <w:t xml:space="preserve"> (</w:t>
      </w:r>
      <w:r w:rsidR="006D240F" w:rsidRPr="0022296B">
        <w:rPr>
          <w:rFonts w:ascii="Arial" w:hAnsi="Arial" w:cs="Arial"/>
          <w:b/>
          <w:sz w:val="22"/>
          <w:szCs w:val="22"/>
          <w:lang w:val="es-ES_tradnl"/>
        </w:rPr>
        <w:t>Tabla 1</w:t>
      </w:r>
      <w:r w:rsidR="00386DA2" w:rsidRPr="0022296B">
        <w:rPr>
          <w:rFonts w:ascii="Arial" w:hAnsi="Arial" w:cs="Arial"/>
          <w:sz w:val="22"/>
          <w:szCs w:val="22"/>
          <w:lang w:val="es-ES_tradnl"/>
        </w:rPr>
        <w:t>)</w:t>
      </w:r>
      <w:r w:rsidR="006D240F" w:rsidRPr="0022296B">
        <w:rPr>
          <w:rFonts w:ascii="Arial" w:hAnsi="Arial" w:cs="Arial"/>
          <w:sz w:val="22"/>
          <w:szCs w:val="22"/>
          <w:lang w:val="es-ES_tradnl"/>
        </w:rPr>
        <w:t>.</w:t>
      </w:r>
      <w:r w:rsidR="00877F94">
        <w:rPr>
          <w:rFonts w:ascii="Arial" w:hAnsi="Arial" w:cs="Arial"/>
          <w:sz w:val="22"/>
          <w:szCs w:val="22"/>
          <w:lang w:val="es-ES_tradnl"/>
        </w:rPr>
        <w:t xml:space="preserve"> </w:t>
      </w:r>
      <w:r w:rsidR="00A96627" w:rsidRPr="0022296B">
        <w:rPr>
          <w:rFonts w:ascii="Arial" w:hAnsi="Arial" w:cs="Arial"/>
          <w:sz w:val="22"/>
          <w:szCs w:val="22"/>
          <w:lang w:val="es-ES_tradnl"/>
        </w:rPr>
        <w:t>Como fuentes se utilizaron superfosfato triple de calcio (0-20-0), superfosfato simple de calcio (0-9-0-12S) y urea granulada (46-0-0).</w:t>
      </w:r>
    </w:p>
    <w:p w:rsidR="00A12F0C" w:rsidRPr="0022296B" w:rsidRDefault="00A12F0C" w:rsidP="00FD706A">
      <w:pPr>
        <w:jc w:val="both"/>
        <w:rPr>
          <w:rFonts w:ascii="Arial" w:hAnsi="Arial" w:cs="Arial"/>
          <w:b/>
          <w:sz w:val="22"/>
          <w:szCs w:val="22"/>
          <w:lang w:val="es-ES_tradnl"/>
        </w:rPr>
      </w:pPr>
    </w:p>
    <w:p w:rsidR="0022642B" w:rsidRDefault="0022642B" w:rsidP="00FD706A">
      <w:pPr>
        <w:jc w:val="both"/>
        <w:rPr>
          <w:rFonts w:ascii="Arial" w:hAnsi="Arial" w:cs="Arial"/>
          <w:sz w:val="20"/>
          <w:szCs w:val="22"/>
          <w:lang w:val="es-ES_tradnl"/>
        </w:rPr>
      </w:pPr>
      <w:r w:rsidRPr="0022296B">
        <w:rPr>
          <w:rFonts w:ascii="Arial" w:hAnsi="Arial" w:cs="Arial"/>
          <w:b/>
          <w:sz w:val="20"/>
          <w:szCs w:val="22"/>
          <w:lang w:val="es-ES_tradnl"/>
        </w:rPr>
        <w:t>Tabla 1</w:t>
      </w:r>
      <w:r w:rsidR="00FD706A" w:rsidRPr="0022296B">
        <w:rPr>
          <w:rFonts w:ascii="Arial" w:hAnsi="Arial" w:cs="Arial"/>
          <w:b/>
          <w:sz w:val="20"/>
          <w:szCs w:val="22"/>
          <w:lang w:val="es-ES_tradnl"/>
        </w:rPr>
        <w:t>.</w:t>
      </w:r>
      <w:r w:rsidRPr="0022296B">
        <w:rPr>
          <w:rFonts w:ascii="Arial" w:hAnsi="Arial" w:cs="Arial"/>
          <w:sz w:val="20"/>
          <w:szCs w:val="22"/>
          <w:lang w:val="es-ES_tradnl"/>
        </w:rPr>
        <w:t xml:space="preserve"> </w:t>
      </w:r>
      <w:r w:rsidR="00CF1598" w:rsidRPr="0022296B">
        <w:rPr>
          <w:rFonts w:ascii="Arial" w:hAnsi="Arial" w:cs="Arial"/>
          <w:sz w:val="20"/>
          <w:szCs w:val="22"/>
          <w:lang w:val="es-ES_tradnl"/>
        </w:rPr>
        <w:t>Tratamientos y d</w:t>
      </w:r>
      <w:r w:rsidR="003E3576" w:rsidRPr="0022296B">
        <w:rPr>
          <w:rFonts w:ascii="Arial" w:hAnsi="Arial" w:cs="Arial"/>
          <w:sz w:val="20"/>
          <w:szCs w:val="22"/>
          <w:lang w:val="es-ES_tradnl"/>
        </w:rPr>
        <w:t>osis (kg ha</w:t>
      </w:r>
      <w:r w:rsidR="003E3576" w:rsidRPr="0022296B">
        <w:rPr>
          <w:rFonts w:ascii="Arial" w:hAnsi="Arial" w:cs="Arial"/>
          <w:sz w:val="20"/>
          <w:szCs w:val="22"/>
          <w:vertAlign w:val="superscript"/>
          <w:lang w:val="es-ES_tradnl"/>
        </w:rPr>
        <w:t>-1</w:t>
      </w:r>
      <w:r w:rsidR="003E3576" w:rsidRPr="0022296B">
        <w:rPr>
          <w:rFonts w:ascii="Arial" w:hAnsi="Arial" w:cs="Arial"/>
          <w:sz w:val="20"/>
          <w:szCs w:val="22"/>
          <w:lang w:val="es-ES_tradnl"/>
        </w:rPr>
        <w:t xml:space="preserve">) de </w:t>
      </w:r>
      <w:r w:rsidR="00E6615E" w:rsidRPr="0022296B">
        <w:rPr>
          <w:rFonts w:ascii="Arial" w:hAnsi="Arial" w:cs="Arial"/>
          <w:sz w:val="20"/>
          <w:szCs w:val="22"/>
          <w:lang w:val="es-ES_tradnl"/>
        </w:rPr>
        <w:t>N</w:t>
      </w:r>
      <w:r w:rsidR="003E3576" w:rsidRPr="0022296B">
        <w:rPr>
          <w:rFonts w:ascii="Arial" w:hAnsi="Arial" w:cs="Arial"/>
          <w:sz w:val="20"/>
          <w:szCs w:val="22"/>
          <w:lang w:val="es-ES_tradnl"/>
        </w:rPr>
        <w:t xml:space="preserve">, </w:t>
      </w:r>
      <w:r w:rsidR="00E6615E" w:rsidRPr="0022296B">
        <w:rPr>
          <w:rFonts w:ascii="Arial" w:hAnsi="Arial" w:cs="Arial"/>
          <w:sz w:val="20"/>
          <w:szCs w:val="22"/>
          <w:lang w:val="es-ES_tradnl"/>
        </w:rPr>
        <w:t>P</w:t>
      </w:r>
      <w:r w:rsidR="003E3576" w:rsidRPr="0022296B">
        <w:rPr>
          <w:rFonts w:ascii="Arial" w:hAnsi="Arial" w:cs="Arial"/>
          <w:sz w:val="20"/>
          <w:szCs w:val="22"/>
          <w:lang w:val="es-ES_tradnl"/>
        </w:rPr>
        <w:t xml:space="preserve"> y </w:t>
      </w:r>
      <w:r w:rsidR="00E6615E" w:rsidRPr="0022296B">
        <w:rPr>
          <w:rFonts w:ascii="Arial" w:hAnsi="Arial" w:cs="Arial"/>
          <w:sz w:val="20"/>
          <w:szCs w:val="22"/>
          <w:lang w:val="es-ES_tradnl"/>
        </w:rPr>
        <w:t>S</w:t>
      </w:r>
      <w:r w:rsidR="003E3576" w:rsidRPr="0022296B">
        <w:rPr>
          <w:rFonts w:ascii="Arial" w:hAnsi="Arial" w:cs="Arial"/>
          <w:sz w:val="20"/>
          <w:szCs w:val="22"/>
          <w:lang w:val="es-ES_tradnl"/>
        </w:rPr>
        <w:t xml:space="preserve"> aplicados </w:t>
      </w:r>
      <w:r w:rsidR="000D3250">
        <w:rPr>
          <w:rFonts w:ascii="Arial" w:hAnsi="Arial" w:cs="Arial"/>
          <w:sz w:val="20"/>
          <w:szCs w:val="22"/>
          <w:lang w:val="es-ES_tradnl"/>
        </w:rPr>
        <w:t xml:space="preserve">en promedio </w:t>
      </w:r>
      <w:r w:rsidR="003E3576" w:rsidRPr="0022296B">
        <w:rPr>
          <w:rFonts w:ascii="Arial" w:hAnsi="Arial" w:cs="Arial"/>
          <w:sz w:val="20"/>
          <w:szCs w:val="22"/>
          <w:lang w:val="es-ES_tradnl"/>
        </w:rPr>
        <w:t xml:space="preserve">en </w:t>
      </w:r>
      <w:r w:rsidR="000D3250">
        <w:rPr>
          <w:rFonts w:ascii="Arial" w:hAnsi="Arial" w:cs="Arial"/>
          <w:sz w:val="20"/>
          <w:szCs w:val="22"/>
          <w:lang w:val="es-ES_tradnl"/>
        </w:rPr>
        <w:t xml:space="preserve">los cultivos de </w:t>
      </w:r>
      <w:r w:rsidR="00FA0616" w:rsidRPr="0022296B">
        <w:rPr>
          <w:rFonts w:ascii="Arial" w:hAnsi="Arial" w:cs="Arial"/>
          <w:sz w:val="20"/>
          <w:szCs w:val="22"/>
          <w:lang w:val="es-ES_tradnl"/>
        </w:rPr>
        <w:t>Tr</w:t>
      </w:r>
      <w:r w:rsidR="00A96627" w:rsidRPr="0022296B">
        <w:rPr>
          <w:rFonts w:ascii="Arial" w:hAnsi="Arial" w:cs="Arial"/>
          <w:sz w:val="20"/>
          <w:szCs w:val="22"/>
          <w:lang w:val="es-ES_tradnl"/>
        </w:rPr>
        <w:t>igo</w:t>
      </w:r>
      <w:r w:rsidR="008353B5" w:rsidRPr="0022296B">
        <w:rPr>
          <w:rFonts w:ascii="Arial" w:hAnsi="Arial" w:cs="Arial"/>
          <w:sz w:val="20"/>
          <w:szCs w:val="22"/>
          <w:lang w:val="es-ES_tradnl"/>
        </w:rPr>
        <w:t>/</w:t>
      </w:r>
      <w:r w:rsidR="00FA0616" w:rsidRPr="0022296B">
        <w:rPr>
          <w:rFonts w:ascii="Arial" w:hAnsi="Arial" w:cs="Arial"/>
          <w:sz w:val="20"/>
          <w:szCs w:val="22"/>
          <w:lang w:val="es-ES_tradnl"/>
        </w:rPr>
        <w:t>S</w:t>
      </w:r>
      <w:r w:rsidR="00A96627" w:rsidRPr="0022296B">
        <w:rPr>
          <w:rFonts w:ascii="Arial" w:hAnsi="Arial" w:cs="Arial"/>
          <w:sz w:val="20"/>
          <w:szCs w:val="22"/>
          <w:lang w:val="es-ES_tradnl"/>
        </w:rPr>
        <w:t>o</w:t>
      </w:r>
      <w:r w:rsidR="00FA0616" w:rsidRPr="0022296B">
        <w:rPr>
          <w:rFonts w:ascii="Arial" w:hAnsi="Arial" w:cs="Arial"/>
          <w:sz w:val="20"/>
          <w:szCs w:val="22"/>
          <w:lang w:val="es-ES_tradnl"/>
        </w:rPr>
        <w:t>j</w:t>
      </w:r>
      <w:r w:rsidR="00A96627" w:rsidRPr="0022296B">
        <w:rPr>
          <w:rFonts w:ascii="Arial" w:hAnsi="Arial" w:cs="Arial"/>
          <w:sz w:val="20"/>
          <w:szCs w:val="22"/>
          <w:lang w:val="es-ES_tradnl"/>
        </w:rPr>
        <w:t>a</w:t>
      </w:r>
      <w:r w:rsidR="000D3250">
        <w:rPr>
          <w:rFonts w:ascii="Arial" w:hAnsi="Arial" w:cs="Arial"/>
          <w:sz w:val="20"/>
          <w:szCs w:val="22"/>
          <w:lang w:val="es-ES_tradnl"/>
        </w:rPr>
        <w:t xml:space="preserve"> – Maíz – Soja. En trigo </w:t>
      </w:r>
      <w:r w:rsidR="0063431A">
        <w:rPr>
          <w:rFonts w:ascii="Arial" w:hAnsi="Arial" w:cs="Arial"/>
          <w:sz w:val="20"/>
          <w:szCs w:val="22"/>
          <w:lang w:val="es-ES_tradnl"/>
        </w:rPr>
        <w:t xml:space="preserve">y cebada </w:t>
      </w:r>
      <w:r w:rsidR="000D3250">
        <w:rPr>
          <w:rFonts w:ascii="Arial" w:hAnsi="Arial" w:cs="Arial"/>
          <w:sz w:val="20"/>
          <w:szCs w:val="22"/>
          <w:lang w:val="es-ES_tradnl"/>
        </w:rPr>
        <w:t>s</w:t>
      </w:r>
      <w:r w:rsidR="008353B5" w:rsidRPr="0022296B">
        <w:rPr>
          <w:rFonts w:ascii="Arial" w:hAnsi="Arial" w:cs="Arial"/>
          <w:sz w:val="20"/>
          <w:szCs w:val="22"/>
          <w:lang w:val="es-ES_tradnl"/>
        </w:rPr>
        <w:t xml:space="preserve">e describen las demandas del doble cultivo, pero los fertilizantes fueron aplicados en su totalidad al primero. </w:t>
      </w:r>
      <w:r w:rsidR="00CF1598" w:rsidRPr="0022296B">
        <w:rPr>
          <w:rFonts w:ascii="Arial" w:hAnsi="Arial" w:cs="Arial"/>
          <w:sz w:val="20"/>
          <w:szCs w:val="22"/>
          <w:lang w:val="es-ES_tradnl"/>
        </w:rPr>
        <w:t xml:space="preserve">Estrategias de fertilización en una secuencia de cultivos, Arribeños, General Arenales. </w:t>
      </w:r>
      <w:r w:rsidR="003E3576" w:rsidRPr="0022296B">
        <w:rPr>
          <w:rFonts w:ascii="Arial" w:hAnsi="Arial" w:cs="Arial"/>
          <w:sz w:val="20"/>
          <w:szCs w:val="22"/>
          <w:lang w:val="es-ES_tradnl"/>
        </w:rPr>
        <w:t>C</w:t>
      </w:r>
      <w:r w:rsidRPr="0022296B">
        <w:rPr>
          <w:rFonts w:ascii="Arial" w:hAnsi="Arial" w:cs="Arial"/>
          <w:sz w:val="20"/>
          <w:szCs w:val="22"/>
          <w:lang w:val="es-ES_tradnl"/>
        </w:rPr>
        <w:t>ampaña</w:t>
      </w:r>
      <w:r w:rsidR="0063431A">
        <w:rPr>
          <w:rFonts w:ascii="Arial" w:hAnsi="Arial" w:cs="Arial"/>
          <w:sz w:val="20"/>
          <w:szCs w:val="22"/>
          <w:lang w:val="es-ES_tradnl"/>
        </w:rPr>
        <w:t>s</w:t>
      </w:r>
      <w:r w:rsidRPr="0022296B">
        <w:rPr>
          <w:rFonts w:ascii="Arial" w:hAnsi="Arial" w:cs="Arial"/>
          <w:sz w:val="20"/>
          <w:szCs w:val="22"/>
          <w:lang w:val="es-ES_tradnl"/>
        </w:rPr>
        <w:t xml:space="preserve"> </w:t>
      </w:r>
      <w:r w:rsidR="0063431A">
        <w:rPr>
          <w:rFonts w:ascii="Arial" w:hAnsi="Arial" w:cs="Arial"/>
          <w:sz w:val="20"/>
          <w:szCs w:val="22"/>
          <w:lang w:val="es-ES_tradnl"/>
        </w:rPr>
        <w:t>2006</w:t>
      </w:r>
      <w:r w:rsidR="00D30985" w:rsidRPr="0022296B">
        <w:rPr>
          <w:rFonts w:ascii="Arial" w:hAnsi="Arial" w:cs="Arial"/>
          <w:sz w:val="20"/>
          <w:szCs w:val="22"/>
          <w:lang w:val="es-ES_tradnl"/>
        </w:rPr>
        <w:t>/</w:t>
      </w:r>
      <w:r w:rsidR="0063431A">
        <w:rPr>
          <w:rFonts w:ascii="Arial" w:hAnsi="Arial" w:cs="Arial"/>
          <w:sz w:val="20"/>
          <w:szCs w:val="22"/>
          <w:lang w:val="es-ES_tradnl"/>
        </w:rPr>
        <w:t xml:space="preserve">07 a </w:t>
      </w:r>
      <w:r w:rsidR="00140A1C">
        <w:rPr>
          <w:rFonts w:ascii="Arial" w:hAnsi="Arial" w:cs="Arial"/>
          <w:sz w:val="20"/>
          <w:szCs w:val="22"/>
          <w:lang w:val="es-ES_tradnl"/>
        </w:rPr>
        <w:t>201</w:t>
      </w:r>
      <w:r w:rsidR="008714D1">
        <w:rPr>
          <w:rFonts w:ascii="Arial" w:hAnsi="Arial" w:cs="Arial"/>
          <w:sz w:val="20"/>
          <w:szCs w:val="22"/>
          <w:lang w:val="es-ES_tradnl"/>
        </w:rPr>
        <w:t>9/20</w:t>
      </w:r>
      <w:r w:rsidR="00CF1598" w:rsidRPr="0022296B">
        <w:rPr>
          <w:rFonts w:ascii="Arial" w:hAnsi="Arial" w:cs="Arial"/>
          <w:sz w:val="20"/>
          <w:szCs w:val="22"/>
          <w:lang w:val="es-ES_tradnl"/>
        </w:rPr>
        <w:t xml:space="preserve">, </w:t>
      </w:r>
      <w:r w:rsidR="008714D1">
        <w:rPr>
          <w:rFonts w:ascii="Arial" w:hAnsi="Arial" w:cs="Arial"/>
          <w:sz w:val="20"/>
          <w:szCs w:val="22"/>
          <w:lang w:val="es-ES_tradnl"/>
        </w:rPr>
        <w:t>catorce</w:t>
      </w:r>
      <w:r w:rsidR="00D30985" w:rsidRPr="0022296B">
        <w:rPr>
          <w:rFonts w:ascii="Arial" w:hAnsi="Arial" w:cs="Arial"/>
          <w:sz w:val="20"/>
          <w:szCs w:val="22"/>
          <w:lang w:val="es-ES_tradnl"/>
        </w:rPr>
        <w:t xml:space="preserve"> </w:t>
      </w:r>
      <w:r w:rsidRPr="0022296B">
        <w:rPr>
          <w:rFonts w:ascii="Arial" w:hAnsi="Arial" w:cs="Arial"/>
          <w:sz w:val="20"/>
          <w:szCs w:val="22"/>
          <w:lang w:val="es-ES_tradnl"/>
        </w:rPr>
        <w:t>año</w:t>
      </w:r>
      <w:r w:rsidR="0063431A">
        <w:rPr>
          <w:rFonts w:ascii="Arial" w:hAnsi="Arial" w:cs="Arial"/>
          <w:sz w:val="20"/>
          <w:szCs w:val="22"/>
          <w:lang w:val="es-ES_tradnl"/>
        </w:rPr>
        <w:t>s</w:t>
      </w:r>
      <w:r w:rsidRPr="0022296B">
        <w:rPr>
          <w:rFonts w:ascii="Arial" w:hAnsi="Arial" w:cs="Arial"/>
          <w:sz w:val="20"/>
          <w:szCs w:val="22"/>
          <w:lang w:val="es-ES_tradnl"/>
        </w:rPr>
        <w:t xml:space="preserve"> de </w:t>
      </w:r>
      <w:r w:rsidR="00FB6AFB">
        <w:rPr>
          <w:rFonts w:ascii="Arial" w:hAnsi="Arial" w:cs="Arial"/>
          <w:sz w:val="20"/>
          <w:szCs w:val="22"/>
          <w:lang w:val="es-ES_tradnl"/>
        </w:rPr>
        <w:t>experimentación</w:t>
      </w:r>
      <w:r w:rsidRPr="0022296B">
        <w:rPr>
          <w:rFonts w:ascii="Arial" w:hAnsi="Arial" w:cs="Arial"/>
          <w:sz w:val="20"/>
          <w:szCs w:val="22"/>
          <w:lang w:val="es-ES_tradnl"/>
        </w:rPr>
        <w:t>.</w:t>
      </w:r>
    </w:p>
    <w:tbl>
      <w:tblPr>
        <w:tblW w:w="48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8"/>
        <w:gridCol w:w="1530"/>
        <w:gridCol w:w="1121"/>
        <w:gridCol w:w="1121"/>
        <w:gridCol w:w="1121"/>
        <w:gridCol w:w="1121"/>
        <w:gridCol w:w="1121"/>
        <w:gridCol w:w="1118"/>
      </w:tblGrid>
      <w:tr w:rsidR="0063431A" w:rsidRPr="0022296B" w:rsidTr="00877F94">
        <w:trPr>
          <w:trHeight w:val="255"/>
          <w:jc w:val="center"/>
        </w:trPr>
        <w:tc>
          <w:tcPr>
            <w:tcW w:w="746" w:type="pct"/>
            <w:tcBorders>
              <w:top w:val="double" w:sz="4" w:space="0" w:color="auto"/>
              <w:left w:val="double" w:sz="4" w:space="0" w:color="auto"/>
              <w:bottom w:val="nil"/>
            </w:tcBorders>
            <w:shd w:val="clear" w:color="auto" w:fill="auto"/>
            <w:noWrap/>
            <w:vAlign w:val="center"/>
          </w:tcPr>
          <w:p w:rsidR="0063431A" w:rsidRPr="0022296B" w:rsidRDefault="0063431A" w:rsidP="000962B0">
            <w:pPr>
              <w:jc w:val="center"/>
              <w:rPr>
                <w:rFonts w:ascii="Arial" w:hAnsi="Arial" w:cs="Arial"/>
                <w:sz w:val="20"/>
                <w:szCs w:val="20"/>
              </w:rPr>
            </w:pPr>
          </w:p>
        </w:tc>
        <w:tc>
          <w:tcPr>
            <w:tcW w:w="788" w:type="pct"/>
            <w:tcBorders>
              <w:top w:val="double" w:sz="4" w:space="0" w:color="auto"/>
              <w:bottom w:val="nil"/>
            </w:tcBorders>
            <w:shd w:val="clear" w:color="auto" w:fill="auto"/>
            <w:vAlign w:val="center"/>
          </w:tcPr>
          <w:p w:rsidR="0063431A" w:rsidRPr="0022296B" w:rsidRDefault="0063431A" w:rsidP="000962B0">
            <w:pPr>
              <w:jc w:val="center"/>
              <w:rPr>
                <w:rFonts w:ascii="Arial" w:hAnsi="Arial" w:cs="Arial"/>
                <w:b/>
                <w:sz w:val="20"/>
                <w:szCs w:val="20"/>
              </w:rPr>
            </w:pPr>
          </w:p>
        </w:tc>
        <w:tc>
          <w:tcPr>
            <w:tcW w:w="3466" w:type="pct"/>
            <w:gridSpan w:val="6"/>
            <w:tcBorders>
              <w:top w:val="double" w:sz="4" w:space="0" w:color="auto"/>
              <w:bottom w:val="nil"/>
              <w:right w:val="double" w:sz="4" w:space="0" w:color="auto"/>
            </w:tcBorders>
            <w:shd w:val="clear" w:color="auto" w:fill="auto"/>
            <w:vAlign w:val="center"/>
          </w:tcPr>
          <w:p w:rsidR="0063431A" w:rsidRPr="0022296B" w:rsidRDefault="0063431A" w:rsidP="0063431A">
            <w:pPr>
              <w:jc w:val="center"/>
              <w:rPr>
                <w:rFonts w:ascii="Arial" w:hAnsi="Arial" w:cs="Arial"/>
                <w:b/>
                <w:bCs/>
                <w:sz w:val="20"/>
                <w:szCs w:val="20"/>
              </w:rPr>
            </w:pPr>
            <w:r w:rsidRPr="0022296B">
              <w:rPr>
                <w:rFonts w:ascii="Arial" w:hAnsi="Arial" w:cs="Arial"/>
                <w:b/>
                <w:bCs/>
                <w:sz w:val="20"/>
                <w:szCs w:val="20"/>
              </w:rPr>
              <w:t>N</w:t>
            </w:r>
            <w:r>
              <w:rPr>
                <w:rFonts w:ascii="Arial" w:hAnsi="Arial" w:cs="Arial"/>
                <w:b/>
                <w:bCs/>
                <w:sz w:val="20"/>
                <w:szCs w:val="20"/>
              </w:rPr>
              <w:t>itrógeno (N)</w:t>
            </w:r>
          </w:p>
        </w:tc>
      </w:tr>
      <w:tr w:rsidR="0063431A" w:rsidRPr="0022296B" w:rsidTr="0063431A">
        <w:trPr>
          <w:trHeight w:val="255"/>
          <w:jc w:val="center"/>
        </w:trPr>
        <w:tc>
          <w:tcPr>
            <w:tcW w:w="746" w:type="pct"/>
            <w:tcBorders>
              <w:top w:val="double" w:sz="4" w:space="0" w:color="auto"/>
              <w:left w:val="double" w:sz="4" w:space="0" w:color="auto"/>
              <w:bottom w:val="nil"/>
            </w:tcBorders>
            <w:shd w:val="clear" w:color="auto" w:fill="auto"/>
            <w:noWrap/>
            <w:vAlign w:val="center"/>
          </w:tcPr>
          <w:p w:rsidR="000D3250" w:rsidRPr="0022296B" w:rsidRDefault="000D3250" w:rsidP="00A96627">
            <w:pPr>
              <w:jc w:val="center"/>
              <w:rPr>
                <w:rFonts w:ascii="Arial" w:hAnsi="Arial" w:cs="Arial"/>
                <w:sz w:val="20"/>
                <w:szCs w:val="20"/>
              </w:rPr>
            </w:pPr>
            <w:r w:rsidRPr="0022296B">
              <w:rPr>
                <w:rFonts w:ascii="Arial" w:hAnsi="Arial" w:cs="Arial"/>
                <w:b/>
                <w:sz w:val="20"/>
                <w:szCs w:val="20"/>
              </w:rPr>
              <w:t>Tratamiento</w:t>
            </w:r>
          </w:p>
        </w:tc>
        <w:tc>
          <w:tcPr>
            <w:tcW w:w="788" w:type="pct"/>
            <w:tcBorders>
              <w:top w:val="double" w:sz="4" w:space="0" w:color="auto"/>
              <w:bottom w:val="nil"/>
            </w:tcBorders>
            <w:shd w:val="clear" w:color="auto" w:fill="auto"/>
            <w:vAlign w:val="center"/>
          </w:tcPr>
          <w:p w:rsidR="000D3250" w:rsidRPr="0022296B" w:rsidRDefault="000D3250" w:rsidP="00A96627">
            <w:pPr>
              <w:jc w:val="center"/>
              <w:rPr>
                <w:rFonts w:ascii="Arial" w:hAnsi="Arial" w:cs="Arial"/>
                <w:b/>
                <w:sz w:val="20"/>
                <w:szCs w:val="20"/>
              </w:rPr>
            </w:pPr>
            <w:r w:rsidRPr="0022296B">
              <w:rPr>
                <w:rFonts w:ascii="Arial" w:hAnsi="Arial" w:cs="Arial"/>
                <w:b/>
                <w:sz w:val="20"/>
                <w:szCs w:val="20"/>
              </w:rPr>
              <w:t>Criterio de</w:t>
            </w:r>
          </w:p>
        </w:tc>
        <w:tc>
          <w:tcPr>
            <w:tcW w:w="578" w:type="pct"/>
            <w:tcBorders>
              <w:top w:val="double" w:sz="4" w:space="0" w:color="auto"/>
              <w:bottom w:val="nil"/>
            </w:tcBorders>
            <w:shd w:val="clear" w:color="auto" w:fill="auto"/>
            <w:vAlign w:val="center"/>
          </w:tcPr>
          <w:p w:rsidR="000D3250" w:rsidRPr="0022296B" w:rsidRDefault="0063431A" w:rsidP="00A96627">
            <w:pPr>
              <w:jc w:val="center"/>
              <w:rPr>
                <w:rFonts w:ascii="Arial" w:hAnsi="Arial" w:cs="Arial"/>
                <w:b/>
                <w:bCs/>
                <w:sz w:val="20"/>
                <w:szCs w:val="20"/>
              </w:rPr>
            </w:pPr>
            <w:r>
              <w:rPr>
                <w:rFonts w:ascii="Arial" w:hAnsi="Arial" w:cs="Arial"/>
                <w:b/>
                <w:bCs/>
                <w:sz w:val="20"/>
                <w:szCs w:val="20"/>
              </w:rPr>
              <w:t>maíz</w:t>
            </w:r>
          </w:p>
        </w:tc>
        <w:tc>
          <w:tcPr>
            <w:tcW w:w="578" w:type="pct"/>
            <w:tcBorders>
              <w:top w:val="double" w:sz="4" w:space="0" w:color="auto"/>
              <w:bottom w:val="nil"/>
            </w:tcBorders>
            <w:shd w:val="clear" w:color="auto" w:fill="auto"/>
            <w:noWrap/>
            <w:vAlign w:val="center"/>
          </w:tcPr>
          <w:p w:rsidR="000D3250" w:rsidRPr="0022296B" w:rsidRDefault="0063431A" w:rsidP="0063431A">
            <w:pPr>
              <w:jc w:val="center"/>
              <w:rPr>
                <w:rFonts w:ascii="Arial" w:hAnsi="Arial" w:cs="Arial"/>
                <w:b/>
                <w:bCs/>
                <w:sz w:val="20"/>
                <w:szCs w:val="20"/>
              </w:rPr>
            </w:pPr>
            <w:r>
              <w:rPr>
                <w:rFonts w:ascii="Arial" w:hAnsi="Arial" w:cs="Arial"/>
                <w:b/>
                <w:bCs/>
                <w:sz w:val="20"/>
                <w:szCs w:val="20"/>
              </w:rPr>
              <w:t>soja</w:t>
            </w:r>
          </w:p>
        </w:tc>
        <w:tc>
          <w:tcPr>
            <w:tcW w:w="578" w:type="pct"/>
            <w:tcBorders>
              <w:top w:val="double" w:sz="4" w:space="0" w:color="auto"/>
              <w:bottom w:val="nil"/>
            </w:tcBorders>
            <w:shd w:val="clear" w:color="auto" w:fill="auto"/>
            <w:noWrap/>
            <w:vAlign w:val="center"/>
          </w:tcPr>
          <w:p w:rsidR="000D3250" w:rsidRPr="0022296B" w:rsidRDefault="0063431A" w:rsidP="0063431A">
            <w:pPr>
              <w:jc w:val="center"/>
              <w:rPr>
                <w:rFonts w:ascii="Arial" w:hAnsi="Arial" w:cs="Arial"/>
                <w:b/>
                <w:bCs/>
                <w:sz w:val="20"/>
                <w:szCs w:val="20"/>
              </w:rPr>
            </w:pPr>
            <w:r>
              <w:rPr>
                <w:rFonts w:ascii="Arial" w:hAnsi="Arial" w:cs="Arial"/>
                <w:b/>
                <w:bCs/>
                <w:sz w:val="20"/>
                <w:szCs w:val="20"/>
              </w:rPr>
              <w:t>trigo</w:t>
            </w:r>
          </w:p>
        </w:tc>
        <w:tc>
          <w:tcPr>
            <w:tcW w:w="578" w:type="pct"/>
            <w:tcBorders>
              <w:top w:val="double" w:sz="4" w:space="0" w:color="auto"/>
              <w:bottom w:val="nil"/>
            </w:tcBorders>
            <w:shd w:val="clear" w:color="auto" w:fill="auto"/>
            <w:vAlign w:val="center"/>
          </w:tcPr>
          <w:p w:rsidR="000D3250" w:rsidRPr="0022296B" w:rsidRDefault="0063431A" w:rsidP="00A96627">
            <w:pPr>
              <w:jc w:val="center"/>
              <w:rPr>
                <w:rFonts w:ascii="Arial" w:hAnsi="Arial" w:cs="Arial"/>
                <w:b/>
                <w:bCs/>
                <w:sz w:val="20"/>
                <w:szCs w:val="20"/>
              </w:rPr>
            </w:pPr>
            <w:r>
              <w:rPr>
                <w:rFonts w:ascii="Arial" w:hAnsi="Arial" w:cs="Arial"/>
                <w:b/>
                <w:bCs/>
                <w:sz w:val="20"/>
                <w:szCs w:val="20"/>
              </w:rPr>
              <w:t>soja 2</w:t>
            </w:r>
            <w:r w:rsidRPr="0063431A">
              <w:rPr>
                <w:rFonts w:ascii="Arial" w:hAnsi="Arial" w:cs="Arial"/>
                <w:b/>
                <w:bCs/>
                <w:sz w:val="20"/>
                <w:szCs w:val="20"/>
                <w:vertAlign w:val="superscript"/>
              </w:rPr>
              <w:t>da</w:t>
            </w:r>
          </w:p>
        </w:tc>
        <w:tc>
          <w:tcPr>
            <w:tcW w:w="578" w:type="pct"/>
            <w:tcBorders>
              <w:top w:val="double" w:sz="4" w:space="0" w:color="auto"/>
              <w:bottom w:val="nil"/>
            </w:tcBorders>
            <w:shd w:val="clear" w:color="auto" w:fill="auto"/>
            <w:noWrap/>
            <w:vAlign w:val="center"/>
          </w:tcPr>
          <w:p w:rsidR="000D3250" w:rsidRPr="0022296B" w:rsidRDefault="0063431A" w:rsidP="00A96627">
            <w:pPr>
              <w:jc w:val="center"/>
              <w:rPr>
                <w:rFonts w:ascii="Arial" w:hAnsi="Arial" w:cs="Arial"/>
                <w:b/>
                <w:bCs/>
                <w:sz w:val="20"/>
                <w:szCs w:val="20"/>
              </w:rPr>
            </w:pPr>
            <w:r>
              <w:rPr>
                <w:rFonts w:ascii="Arial" w:hAnsi="Arial" w:cs="Arial"/>
                <w:b/>
                <w:bCs/>
                <w:sz w:val="20"/>
                <w:szCs w:val="20"/>
              </w:rPr>
              <w:t>cebada</w:t>
            </w:r>
          </w:p>
        </w:tc>
        <w:tc>
          <w:tcPr>
            <w:tcW w:w="576" w:type="pct"/>
            <w:tcBorders>
              <w:top w:val="double" w:sz="4" w:space="0" w:color="auto"/>
              <w:bottom w:val="nil"/>
              <w:right w:val="double" w:sz="4" w:space="0" w:color="auto"/>
            </w:tcBorders>
            <w:shd w:val="clear" w:color="auto" w:fill="auto"/>
            <w:noWrap/>
            <w:vAlign w:val="center"/>
          </w:tcPr>
          <w:p w:rsidR="000D3250" w:rsidRPr="0022296B" w:rsidRDefault="009D3AC5" w:rsidP="00A96627">
            <w:pPr>
              <w:jc w:val="center"/>
              <w:rPr>
                <w:rFonts w:ascii="Arial" w:hAnsi="Arial" w:cs="Arial"/>
                <w:b/>
                <w:bCs/>
                <w:sz w:val="20"/>
                <w:szCs w:val="20"/>
              </w:rPr>
            </w:pPr>
            <w:r>
              <w:rPr>
                <w:rFonts w:ascii="Arial" w:hAnsi="Arial" w:cs="Arial"/>
                <w:b/>
                <w:bCs/>
                <w:sz w:val="20"/>
                <w:szCs w:val="20"/>
              </w:rPr>
              <w:t>s</w:t>
            </w:r>
            <w:r w:rsidR="0063431A">
              <w:rPr>
                <w:rFonts w:ascii="Arial" w:hAnsi="Arial" w:cs="Arial"/>
                <w:b/>
                <w:bCs/>
                <w:sz w:val="20"/>
                <w:szCs w:val="20"/>
              </w:rPr>
              <w:t>oja 2</w:t>
            </w:r>
            <w:r w:rsidR="0063431A" w:rsidRPr="0063431A">
              <w:rPr>
                <w:rFonts w:ascii="Arial" w:hAnsi="Arial" w:cs="Arial"/>
                <w:b/>
                <w:bCs/>
                <w:sz w:val="20"/>
                <w:szCs w:val="20"/>
                <w:vertAlign w:val="superscript"/>
              </w:rPr>
              <w:t>da</w:t>
            </w:r>
          </w:p>
        </w:tc>
      </w:tr>
      <w:tr w:rsidR="0063431A" w:rsidRPr="0022296B" w:rsidTr="0063431A">
        <w:trPr>
          <w:trHeight w:val="82"/>
          <w:jc w:val="center"/>
        </w:trPr>
        <w:tc>
          <w:tcPr>
            <w:tcW w:w="746" w:type="pct"/>
            <w:tcBorders>
              <w:top w:val="nil"/>
              <w:left w:val="double" w:sz="4" w:space="0" w:color="auto"/>
              <w:bottom w:val="double" w:sz="4" w:space="0" w:color="auto"/>
            </w:tcBorders>
            <w:shd w:val="clear" w:color="auto" w:fill="auto"/>
            <w:noWrap/>
            <w:vAlign w:val="center"/>
          </w:tcPr>
          <w:p w:rsidR="000D3250" w:rsidRPr="0022296B" w:rsidRDefault="000D3250" w:rsidP="00A96627">
            <w:pPr>
              <w:jc w:val="center"/>
              <w:rPr>
                <w:rFonts w:ascii="Arial" w:hAnsi="Arial" w:cs="Arial"/>
                <w:sz w:val="20"/>
                <w:szCs w:val="20"/>
              </w:rPr>
            </w:pPr>
          </w:p>
        </w:tc>
        <w:tc>
          <w:tcPr>
            <w:tcW w:w="788" w:type="pct"/>
            <w:tcBorders>
              <w:top w:val="nil"/>
              <w:bottom w:val="double" w:sz="4" w:space="0" w:color="auto"/>
            </w:tcBorders>
            <w:shd w:val="clear" w:color="auto" w:fill="auto"/>
            <w:vAlign w:val="center"/>
          </w:tcPr>
          <w:p w:rsidR="000D3250" w:rsidRPr="0022296B" w:rsidRDefault="000D3250" w:rsidP="00A96627">
            <w:pPr>
              <w:jc w:val="center"/>
              <w:rPr>
                <w:rFonts w:ascii="Arial" w:hAnsi="Arial" w:cs="Arial"/>
                <w:b/>
                <w:sz w:val="20"/>
                <w:szCs w:val="20"/>
              </w:rPr>
            </w:pPr>
            <w:r w:rsidRPr="0022296B">
              <w:rPr>
                <w:rFonts w:ascii="Arial" w:hAnsi="Arial" w:cs="Arial"/>
                <w:b/>
                <w:sz w:val="20"/>
                <w:szCs w:val="20"/>
              </w:rPr>
              <w:t>fertilización</w:t>
            </w:r>
          </w:p>
        </w:tc>
        <w:tc>
          <w:tcPr>
            <w:tcW w:w="578" w:type="pct"/>
            <w:tcBorders>
              <w:top w:val="nil"/>
              <w:bottom w:val="double" w:sz="4" w:space="0" w:color="auto"/>
            </w:tcBorders>
            <w:shd w:val="clear" w:color="auto" w:fill="auto"/>
            <w:vAlign w:val="center"/>
          </w:tcPr>
          <w:p w:rsidR="000D3250" w:rsidRPr="0022296B" w:rsidRDefault="000D3250" w:rsidP="00A96627">
            <w:pPr>
              <w:jc w:val="center"/>
              <w:rPr>
                <w:rFonts w:ascii="Arial" w:hAnsi="Arial" w:cs="Arial"/>
                <w:b/>
                <w:bCs/>
                <w:sz w:val="20"/>
                <w:szCs w:val="20"/>
              </w:rPr>
            </w:pPr>
          </w:p>
        </w:tc>
        <w:tc>
          <w:tcPr>
            <w:tcW w:w="578" w:type="pct"/>
            <w:tcBorders>
              <w:top w:val="nil"/>
              <w:bottom w:val="double" w:sz="4" w:space="0" w:color="auto"/>
            </w:tcBorders>
            <w:shd w:val="clear" w:color="auto" w:fill="auto"/>
            <w:noWrap/>
            <w:vAlign w:val="center"/>
          </w:tcPr>
          <w:p w:rsidR="000D3250" w:rsidRPr="0022296B" w:rsidRDefault="000D3250" w:rsidP="00A96627">
            <w:pPr>
              <w:jc w:val="center"/>
              <w:rPr>
                <w:rFonts w:ascii="Arial" w:hAnsi="Arial" w:cs="Arial"/>
                <w:b/>
                <w:bCs/>
                <w:sz w:val="20"/>
                <w:szCs w:val="20"/>
              </w:rPr>
            </w:pPr>
          </w:p>
        </w:tc>
        <w:tc>
          <w:tcPr>
            <w:tcW w:w="578" w:type="pct"/>
            <w:tcBorders>
              <w:top w:val="nil"/>
              <w:bottom w:val="double" w:sz="4" w:space="0" w:color="auto"/>
            </w:tcBorders>
            <w:shd w:val="clear" w:color="auto" w:fill="auto"/>
            <w:noWrap/>
            <w:vAlign w:val="center"/>
          </w:tcPr>
          <w:p w:rsidR="000D3250" w:rsidRPr="0022296B" w:rsidRDefault="000D3250" w:rsidP="00A96627">
            <w:pPr>
              <w:jc w:val="center"/>
              <w:rPr>
                <w:rFonts w:ascii="Arial" w:hAnsi="Arial" w:cs="Arial"/>
                <w:b/>
                <w:bCs/>
                <w:sz w:val="20"/>
                <w:szCs w:val="20"/>
              </w:rPr>
            </w:pPr>
          </w:p>
        </w:tc>
        <w:tc>
          <w:tcPr>
            <w:tcW w:w="578" w:type="pct"/>
            <w:tcBorders>
              <w:top w:val="nil"/>
              <w:bottom w:val="double" w:sz="4" w:space="0" w:color="auto"/>
            </w:tcBorders>
            <w:shd w:val="clear" w:color="auto" w:fill="auto"/>
            <w:vAlign w:val="center"/>
          </w:tcPr>
          <w:p w:rsidR="000D3250" w:rsidRPr="0022296B" w:rsidRDefault="000D3250" w:rsidP="00A96627">
            <w:pPr>
              <w:jc w:val="center"/>
              <w:rPr>
                <w:rFonts w:ascii="Arial" w:hAnsi="Arial" w:cs="Arial"/>
                <w:b/>
                <w:bCs/>
                <w:sz w:val="20"/>
                <w:szCs w:val="20"/>
              </w:rPr>
            </w:pPr>
          </w:p>
        </w:tc>
        <w:tc>
          <w:tcPr>
            <w:tcW w:w="578" w:type="pct"/>
            <w:tcBorders>
              <w:top w:val="nil"/>
              <w:bottom w:val="double" w:sz="4" w:space="0" w:color="auto"/>
            </w:tcBorders>
            <w:shd w:val="clear" w:color="auto" w:fill="auto"/>
            <w:noWrap/>
            <w:vAlign w:val="center"/>
          </w:tcPr>
          <w:p w:rsidR="000D3250" w:rsidRPr="0022296B" w:rsidRDefault="000D3250" w:rsidP="00A96627">
            <w:pPr>
              <w:jc w:val="center"/>
              <w:rPr>
                <w:rFonts w:ascii="Arial" w:hAnsi="Arial" w:cs="Arial"/>
                <w:b/>
                <w:bCs/>
                <w:sz w:val="20"/>
                <w:szCs w:val="20"/>
              </w:rPr>
            </w:pPr>
          </w:p>
        </w:tc>
        <w:tc>
          <w:tcPr>
            <w:tcW w:w="576" w:type="pct"/>
            <w:tcBorders>
              <w:top w:val="nil"/>
              <w:bottom w:val="double" w:sz="4" w:space="0" w:color="auto"/>
              <w:right w:val="double" w:sz="4" w:space="0" w:color="auto"/>
            </w:tcBorders>
            <w:shd w:val="clear" w:color="auto" w:fill="auto"/>
            <w:noWrap/>
            <w:vAlign w:val="center"/>
          </w:tcPr>
          <w:p w:rsidR="000D3250" w:rsidRPr="0022296B" w:rsidRDefault="000D3250" w:rsidP="00A96627">
            <w:pPr>
              <w:jc w:val="center"/>
              <w:rPr>
                <w:rFonts w:ascii="Arial" w:hAnsi="Arial" w:cs="Arial"/>
                <w:b/>
                <w:bCs/>
                <w:sz w:val="20"/>
                <w:szCs w:val="20"/>
              </w:rPr>
            </w:pPr>
          </w:p>
        </w:tc>
      </w:tr>
      <w:tr w:rsidR="009D3AC5" w:rsidRPr="0022296B" w:rsidTr="009D3AC5">
        <w:trPr>
          <w:trHeight w:val="255"/>
          <w:jc w:val="center"/>
        </w:trPr>
        <w:tc>
          <w:tcPr>
            <w:tcW w:w="746" w:type="pct"/>
            <w:tcBorders>
              <w:top w:val="double" w:sz="4" w:space="0" w:color="auto"/>
              <w:left w:val="double" w:sz="4" w:space="0" w:color="auto"/>
            </w:tcBorders>
            <w:shd w:val="clear" w:color="auto" w:fill="auto"/>
            <w:noWrap/>
            <w:vAlign w:val="center"/>
          </w:tcPr>
          <w:p w:rsidR="009D3AC5" w:rsidRPr="0022296B" w:rsidRDefault="009D3AC5" w:rsidP="00A96627">
            <w:pPr>
              <w:jc w:val="center"/>
              <w:rPr>
                <w:rFonts w:ascii="Arial" w:hAnsi="Arial" w:cs="Arial"/>
                <w:b/>
                <w:sz w:val="20"/>
                <w:szCs w:val="20"/>
              </w:rPr>
            </w:pPr>
            <w:r w:rsidRPr="0022296B">
              <w:rPr>
                <w:rFonts w:ascii="Arial" w:hAnsi="Arial" w:cs="Arial"/>
                <w:b/>
                <w:sz w:val="20"/>
                <w:szCs w:val="20"/>
              </w:rPr>
              <w:t>T1</w:t>
            </w:r>
          </w:p>
        </w:tc>
        <w:tc>
          <w:tcPr>
            <w:tcW w:w="788" w:type="pct"/>
            <w:tcBorders>
              <w:top w:val="double" w:sz="4" w:space="0" w:color="auto"/>
            </w:tcBorders>
            <w:shd w:val="clear" w:color="auto" w:fill="auto"/>
            <w:vAlign w:val="center"/>
          </w:tcPr>
          <w:p w:rsidR="009D3AC5" w:rsidRPr="0063431A" w:rsidRDefault="009D3AC5" w:rsidP="00A96627">
            <w:pPr>
              <w:jc w:val="center"/>
              <w:rPr>
                <w:rFonts w:asciiTheme="minorHAnsi" w:hAnsiTheme="minorHAnsi" w:cs="Arial"/>
                <w:sz w:val="18"/>
                <w:szCs w:val="20"/>
              </w:rPr>
            </w:pPr>
            <w:r w:rsidRPr="0063431A">
              <w:rPr>
                <w:rFonts w:asciiTheme="minorHAnsi" w:hAnsiTheme="minorHAnsi" w:cs="Arial"/>
                <w:sz w:val="18"/>
                <w:szCs w:val="20"/>
              </w:rPr>
              <w:t>Testigo sin fertilización</w:t>
            </w:r>
          </w:p>
        </w:tc>
        <w:tc>
          <w:tcPr>
            <w:tcW w:w="578" w:type="pct"/>
            <w:tcBorders>
              <w:top w:val="double" w:sz="4" w:space="0" w:color="auto"/>
            </w:tcBorders>
            <w:shd w:val="clear" w:color="auto" w:fill="auto"/>
            <w:vAlign w:val="center"/>
          </w:tcPr>
          <w:p w:rsidR="009D3AC5" w:rsidRPr="009D3AC5" w:rsidRDefault="009D3AC5" w:rsidP="009D3AC5">
            <w:pPr>
              <w:jc w:val="center"/>
              <w:rPr>
                <w:rFonts w:asciiTheme="minorHAnsi" w:hAnsiTheme="minorHAnsi" w:cs="Arial"/>
                <w:sz w:val="20"/>
                <w:szCs w:val="20"/>
              </w:rPr>
            </w:pPr>
            <w:r w:rsidRPr="009D3AC5">
              <w:rPr>
                <w:rFonts w:asciiTheme="minorHAnsi" w:hAnsiTheme="minorHAnsi" w:cs="Arial"/>
                <w:sz w:val="20"/>
                <w:szCs w:val="20"/>
              </w:rPr>
              <w:t>0</w:t>
            </w:r>
          </w:p>
        </w:tc>
        <w:tc>
          <w:tcPr>
            <w:tcW w:w="578" w:type="pct"/>
            <w:tcBorders>
              <w:top w:val="double" w:sz="4" w:space="0" w:color="auto"/>
            </w:tcBorders>
            <w:shd w:val="clear" w:color="auto" w:fill="auto"/>
            <w:noWrap/>
            <w:vAlign w:val="center"/>
          </w:tcPr>
          <w:p w:rsidR="009D3AC5" w:rsidRPr="0063431A" w:rsidRDefault="009D3AC5" w:rsidP="0063431A">
            <w:pPr>
              <w:jc w:val="center"/>
              <w:rPr>
                <w:rFonts w:asciiTheme="minorHAnsi" w:hAnsiTheme="minorHAnsi" w:cs="Arial"/>
                <w:sz w:val="20"/>
                <w:szCs w:val="20"/>
              </w:rPr>
            </w:pPr>
            <w:r w:rsidRPr="0063431A">
              <w:rPr>
                <w:rFonts w:asciiTheme="minorHAnsi" w:hAnsiTheme="minorHAnsi" w:cs="Arial"/>
                <w:sz w:val="20"/>
                <w:szCs w:val="20"/>
              </w:rPr>
              <w:t>0</w:t>
            </w:r>
          </w:p>
        </w:tc>
        <w:tc>
          <w:tcPr>
            <w:tcW w:w="578" w:type="pct"/>
            <w:tcBorders>
              <w:top w:val="double" w:sz="4" w:space="0" w:color="auto"/>
            </w:tcBorders>
            <w:shd w:val="clear" w:color="auto" w:fill="auto"/>
            <w:vAlign w:val="center"/>
          </w:tcPr>
          <w:p w:rsidR="009D3AC5" w:rsidRPr="0063431A" w:rsidRDefault="009D3AC5" w:rsidP="0063431A">
            <w:pPr>
              <w:jc w:val="center"/>
              <w:rPr>
                <w:rFonts w:asciiTheme="minorHAnsi" w:hAnsiTheme="minorHAnsi" w:cs="Arial"/>
                <w:sz w:val="20"/>
                <w:szCs w:val="20"/>
              </w:rPr>
            </w:pPr>
            <w:r w:rsidRPr="0063431A">
              <w:rPr>
                <w:rFonts w:asciiTheme="minorHAnsi" w:hAnsiTheme="minorHAnsi" w:cs="Arial"/>
                <w:sz w:val="20"/>
                <w:szCs w:val="20"/>
              </w:rPr>
              <w:t>0</w:t>
            </w:r>
          </w:p>
        </w:tc>
        <w:tc>
          <w:tcPr>
            <w:tcW w:w="578" w:type="pct"/>
            <w:tcBorders>
              <w:top w:val="double" w:sz="4" w:space="0" w:color="auto"/>
            </w:tcBorders>
            <w:shd w:val="clear" w:color="auto" w:fill="auto"/>
            <w:vAlign w:val="center"/>
          </w:tcPr>
          <w:p w:rsidR="009D3AC5" w:rsidRPr="0063431A" w:rsidRDefault="009D3AC5" w:rsidP="0063431A">
            <w:pPr>
              <w:jc w:val="center"/>
              <w:rPr>
                <w:rFonts w:asciiTheme="minorHAnsi" w:hAnsiTheme="minorHAnsi" w:cs="Arial"/>
                <w:sz w:val="20"/>
                <w:szCs w:val="20"/>
              </w:rPr>
            </w:pPr>
            <w:r w:rsidRPr="0063431A">
              <w:rPr>
                <w:rFonts w:asciiTheme="minorHAnsi" w:hAnsiTheme="minorHAnsi" w:cs="Arial"/>
                <w:sz w:val="20"/>
                <w:szCs w:val="20"/>
              </w:rPr>
              <w:t>0</w:t>
            </w:r>
          </w:p>
        </w:tc>
        <w:tc>
          <w:tcPr>
            <w:tcW w:w="578" w:type="pct"/>
            <w:tcBorders>
              <w:top w:val="double" w:sz="4" w:space="0" w:color="auto"/>
            </w:tcBorders>
            <w:shd w:val="clear" w:color="auto" w:fill="auto"/>
            <w:noWrap/>
            <w:vAlign w:val="center"/>
          </w:tcPr>
          <w:p w:rsidR="009D3AC5" w:rsidRPr="0063431A" w:rsidRDefault="009D3AC5" w:rsidP="0063431A">
            <w:pPr>
              <w:jc w:val="center"/>
              <w:rPr>
                <w:rFonts w:asciiTheme="minorHAnsi" w:hAnsiTheme="minorHAnsi" w:cs="Arial"/>
                <w:sz w:val="20"/>
                <w:szCs w:val="20"/>
              </w:rPr>
            </w:pPr>
            <w:r w:rsidRPr="0063431A">
              <w:rPr>
                <w:rFonts w:asciiTheme="minorHAnsi" w:hAnsiTheme="minorHAnsi" w:cs="Arial"/>
                <w:sz w:val="20"/>
                <w:szCs w:val="20"/>
              </w:rPr>
              <w:t>0</w:t>
            </w:r>
          </w:p>
        </w:tc>
        <w:tc>
          <w:tcPr>
            <w:tcW w:w="576" w:type="pct"/>
            <w:tcBorders>
              <w:top w:val="double" w:sz="4" w:space="0" w:color="auto"/>
              <w:right w:val="double" w:sz="4" w:space="0" w:color="auto"/>
            </w:tcBorders>
            <w:shd w:val="clear" w:color="auto" w:fill="auto"/>
            <w:noWrap/>
            <w:vAlign w:val="center"/>
          </w:tcPr>
          <w:p w:rsidR="009D3AC5" w:rsidRPr="0063431A" w:rsidRDefault="009D3AC5" w:rsidP="0063431A">
            <w:pPr>
              <w:jc w:val="center"/>
              <w:rPr>
                <w:rFonts w:asciiTheme="minorHAnsi" w:hAnsiTheme="minorHAnsi" w:cs="Arial"/>
                <w:sz w:val="20"/>
                <w:szCs w:val="20"/>
              </w:rPr>
            </w:pPr>
            <w:r w:rsidRPr="0063431A">
              <w:rPr>
                <w:rFonts w:asciiTheme="minorHAnsi" w:hAnsiTheme="minorHAnsi" w:cs="Arial"/>
                <w:sz w:val="20"/>
                <w:szCs w:val="20"/>
              </w:rPr>
              <w:t>0</w:t>
            </w:r>
          </w:p>
        </w:tc>
      </w:tr>
      <w:tr w:rsidR="009D3AC5" w:rsidRPr="0022296B" w:rsidTr="009D3AC5">
        <w:trPr>
          <w:trHeight w:val="255"/>
          <w:jc w:val="center"/>
        </w:trPr>
        <w:tc>
          <w:tcPr>
            <w:tcW w:w="746" w:type="pct"/>
            <w:tcBorders>
              <w:left w:val="double" w:sz="4" w:space="0" w:color="auto"/>
            </w:tcBorders>
            <w:shd w:val="clear" w:color="auto" w:fill="auto"/>
            <w:noWrap/>
            <w:vAlign w:val="center"/>
          </w:tcPr>
          <w:p w:rsidR="009D3AC5" w:rsidRPr="0022296B" w:rsidRDefault="009D3AC5" w:rsidP="00A96627">
            <w:pPr>
              <w:jc w:val="center"/>
              <w:rPr>
                <w:rFonts w:ascii="Arial" w:hAnsi="Arial" w:cs="Arial"/>
                <w:b/>
                <w:sz w:val="20"/>
                <w:szCs w:val="20"/>
              </w:rPr>
            </w:pPr>
            <w:r w:rsidRPr="0022296B">
              <w:rPr>
                <w:rFonts w:ascii="Arial" w:hAnsi="Arial" w:cs="Arial"/>
                <w:b/>
                <w:sz w:val="20"/>
                <w:szCs w:val="20"/>
              </w:rPr>
              <w:t>T2</w:t>
            </w:r>
          </w:p>
        </w:tc>
        <w:tc>
          <w:tcPr>
            <w:tcW w:w="788" w:type="pct"/>
            <w:shd w:val="clear" w:color="auto" w:fill="auto"/>
            <w:vAlign w:val="center"/>
          </w:tcPr>
          <w:p w:rsidR="009D3AC5" w:rsidRPr="0063431A" w:rsidRDefault="009D3AC5" w:rsidP="00A96627">
            <w:pPr>
              <w:jc w:val="center"/>
              <w:rPr>
                <w:rFonts w:asciiTheme="minorHAnsi" w:hAnsiTheme="minorHAnsi" w:cs="Arial"/>
                <w:sz w:val="18"/>
                <w:szCs w:val="20"/>
              </w:rPr>
            </w:pPr>
            <w:r w:rsidRPr="0063431A">
              <w:rPr>
                <w:rFonts w:asciiTheme="minorHAnsi" w:hAnsiTheme="minorHAnsi" w:cs="Arial"/>
                <w:sz w:val="18"/>
                <w:szCs w:val="20"/>
              </w:rPr>
              <w:t>Tecnología Uso Actual</w:t>
            </w:r>
          </w:p>
        </w:tc>
        <w:tc>
          <w:tcPr>
            <w:tcW w:w="578" w:type="pct"/>
            <w:shd w:val="clear" w:color="auto" w:fill="auto"/>
            <w:vAlign w:val="center"/>
          </w:tcPr>
          <w:p w:rsidR="009D3AC5" w:rsidRPr="009D3AC5" w:rsidRDefault="009D3AC5" w:rsidP="009D3AC5">
            <w:pPr>
              <w:jc w:val="center"/>
              <w:rPr>
                <w:rFonts w:asciiTheme="minorHAnsi" w:hAnsiTheme="minorHAnsi" w:cs="Arial"/>
                <w:sz w:val="20"/>
                <w:szCs w:val="20"/>
              </w:rPr>
            </w:pPr>
            <w:r w:rsidRPr="009D3AC5">
              <w:rPr>
                <w:rFonts w:asciiTheme="minorHAnsi" w:hAnsiTheme="minorHAnsi" w:cs="Arial"/>
                <w:sz w:val="20"/>
                <w:szCs w:val="20"/>
              </w:rPr>
              <w:t>46</w:t>
            </w:r>
          </w:p>
        </w:tc>
        <w:tc>
          <w:tcPr>
            <w:tcW w:w="578" w:type="pct"/>
            <w:shd w:val="clear" w:color="auto" w:fill="auto"/>
            <w:noWrap/>
            <w:vAlign w:val="center"/>
          </w:tcPr>
          <w:p w:rsidR="009D3AC5" w:rsidRPr="0063431A" w:rsidRDefault="009D3AC5" w:rsidP="0063431A">
            <w:pPr>
              <w:jc w:val="center"/>
              <w:rPr>
                <w:rFonts w:asciiTheme="minorHAnsi" w:hAnsiTheme="minorHAnsi" w:cs="Arial"/>
                <w:sz w:val="20"/>
                <w:szCs w:val="20"/>
              </w:rPr>
            </w:pPr>
            <w:r w:rsidRPr="0063431A">
              <w:rPr>
                <w:rFonts w:asciiTheme="minorHAnsi" w:hAnsiTheme="minorHAnsi" w:cs="Arial"/>
                <w:sz w:val="20"/>
                <w:szCs w:val="20"/>
              </w:rPr>
              <w:t>0</w:t>
            </w:r>
          </w:p>
        </w:tc>
        <w:tc>
          <w:tcPr>
            <w:tcW w:w="578" w:type="pct"/>
            <w:shd w:val="clear" w:color="auto" w:fill="auto"/>
            <w:noWrap/>
            <w:vAlign w:val="center"/>
          </w:tcPr>
          <w:p w:rsidR="009D3AC5" w:rsidRPr="0063431A" w:rsidRDefault="009D3AC5" w:rsidP="0063431A">
            <w:pPr>
              <w:jc w:val="center"/>
              <w:rPr>
                <w:rFonts w:asciiTheme="minorHAnsi" w:hAnsiTheme="minorHAnsi" w:cs="Arial"/>
                <w:sz w:val="20"/>
                <w:szCs w:val="20"/>
              </w:rPr>
            </w:pPr>
            <w:r w:rsidRPr="0063431A">
              <w:rPr>
                <w:rFonts w:asciiTheme="minorHAnsi" w:hAnsiTheme="minorHAnsi" w:cs="Arial"/>
                <w:sz w:val="20"/>
                <w:szCs w:val="20"/>
              </w:rPr>
              <w:t>46</w:t>
            </w:r>
          </w:p>
        </w:tc>
        <w:tc>
          <w:tcPr>
            <w:tcW w:w="578" w:type="pct"/>
            <w:shd w:val="clear" w:color="auto" w:fill="auto"/>
            <w:vAlign w:val="center"/>
          </w:tcPr>
          <w:p w:rsidR="009D3AC5" w:rsidRPr="0063431A" w:rsidRDefault="009D3AC5" w:rsidP="0063431A">
            <w:pPr>
              <w:jc w:val="center"/>
              <w:rPr>
                <w:rFonts w:asciiTheme="minorHAnsi" w:hAnsiTheme="minorHAnsi" w:cs="Arial"/>
                <w:sz w:val="20"/>
                <w:szCs w:val="20"/>
              </w:rPr>
            </w:pPr>
            <w:r w:rsidRPr="0063431A">
              <w:rPr>
                <w:rFonts w:asciiTheme="minorHAnsi" w:hAnsiTheme="minorHAnsi" w:cs="Arial"/>
                <w:sz w:val="20"/>
                <w:szCs w:val="20"/>
              </w:rPr>
              <w:t>0</w:t>
            </w:r>
          </w:p>
        </w:tc>
        <w:tc>
          <w:tcPr>
            <w:tcW w:w="578" w:type="pct"/>
            <w:shd w:val="clear" w:color="auto" w:fill="auto"/>
            <w:noWrap/>
            <w:vAlign w:val="center"/>
          </w:tcPr>
          <w:p w:rsidR="009D3AC5" w:rsidRPr="0063431A" w:rsidRDefault="009D3AC5" w:rsidP="0063431A">
            <w:pPr>
              <w:jc w:val="center"/>
              <w:rPr>
                <w:rFonts w:asciiTheme="minorHAnsi" w:hAnsiTheme="minorHAnsi" w:cs="Arial"/>
                <w:sz w:val="20"/>
                <w:szCs w:val="20"/>
              </w:rPr>
            </w:pPr>
            <w:r w:rsidRPr="0063431A">
              <w:rPr>
                <w:rFonts w:asciiTheme="minorHAnsi" w:hAnsiTheme="minorHAnsi" w:cs="Arial"/>
                <w:sz w:val="20"/>
                <w:szCs w:val="20"/>
              </w:rPr>
              <w:t>46</w:t>
            </w:r>
          </w:p>
        </w:tc>
        <w:tc>
          <w:tcPr>
            <w:tcW w:w="576" w:type="pct"/>
            <w:tcBorders>
              <w:right w:val="double" w:sz="4" w:space="0" w:color="auto"/>
            </w:tcBorders>
            <w:shd w:val="clear" w:color="auto" w:fill="auto"/>
            <w:noWrap/>
            <w:vAlign w:val="center"/>
          </w:tcPr>
          <w:p w:rsidR="009D3AC5" w:rsidRPr="0063431A" w:rsidRDefault="009D3AC5" w:rsidP="0063431A">
            <w:pPr>
              <w:jc w:val="center"/>
              <w:rPr>
                <w:rFonts w:asciiTheme="minorHAnsi" w:hAnsiTheme="minorHAnsi" w:cs="Arial"/>
                <w:sz w:val="20"/>
                <w:szCs w:val="20"/>
              </w:rPr>
            </w:pPr>
            <w:r w:rsidRPr="0063431A">
              <w:rPr>
                <w:rFonts w:asciiTheme="minorHAnsi" w:hAnsiTheme="minorHAnsi" w:cs="Arial"/>
                <w:sz w:val="20"/>
                <w:szCs w:val="20"/>
              </w:rPr>
              <w:t>0</w:t>
            </w:r>
          </w:p>
        </w:tc>
      </w:tr>
      <w:tr w:rsidR="009D3AC5" w:rsidRPr="0022296B" w:rsidTr="009D3AC5">
        <w:trPr>
          <w:trHeight w:val="255"/>
          <w:jc w:val="center"/>
        </w:trPr>
        <w:tc>
          <w:tcPr>
            <w:tcW w:w="746" w:type="pct"/>
            <w:tcBorders>
              <w:left w:val="double" w:sz="4" w:space="0" w:color="auto"/>
            </w:tcBorders>
            <w:shd w:val="clear" w:color="auto" w:fill="auto"/>
            <w:noWrap/>
            <w:vAlign w:val="center"/>
          </w:tcPr>
          <w:p w:rsidR="009D3AC5" w:rsidRPr="0022296B" w:rsidRDefault="009D3AC5" w:rsidP="00A96627">
            <w:pPr>
              <w:jc w:val="center"/>
              <w:rPr>
                <w:rFonts w:ascii="Arial" w:hAnsi="Arial" w:cs="Arial"/>
                <w:b/>
                <w:sz w:val="20"/>
                <w:szCs w:val="20"/>
              </w:rPr>
            </w:pPr>
            <w:r w:rsidRPr="0022296B">
              <w:rPr>
                <w:rFonts w:ascii="Arial" w:hAnsi="Arial" w:cs="Arial"/>
                <w:b/>
                <w:sz w:val="20"/>
                <w:szCs w:val="20"/>
              </w:rPr>
              <w:t>T3</w:t>
            </w:r>
          </w:p>
        </w:tc>
        <w:tc>
          <w:tcPr>
            <w:tcW w:w="788" w:type="pct"/>
            <w:shd w:val="clear" w:color="auto" w:fill="auto"/>
            <w:vAlign w:val="center"/>
          </w:tcPr>
          <w:p w:rsidR="009D3AC5" w:rsidRPr="0063431A" w:rsidRDefault="009D3AC5" w:rsidP="00A96627">
            <w:pPr>
              <w:jc w:val="center"/>
              <w:rPr>
                <w:rFonts w:asciiTheme="minorHAnsi" w:hAnsiTheme="minorHAnsi" w:cs="Arial"/>
                <w:sz w:val="18"/>
                <w:szCs w:val="20"/>
              </w:rPr>
            </w:pPr>
            <w:r w:rsidRPr="0063431A">
              <w:rPr>
                <w:rFonts w:asciiTheme="minorHAnsi" w:hAnsiTheme="minorHAnsi" w:cs="Arial"/>
                <w:sz w:val="18"/>
                <w:szCs w:val="20"/>
              </w:rPr>
              <w:t>Reposición PS Rendimiento objetivo medio</w:t>
            </w:r>
          </w:p>
        </w:tc>
        <w:tc>
          <w:tcPr>
            <w:tcW w:w="578" w:type="pct"/>
            <w:shd w:val="clear" w:color="auto" w:fill="auto"/>
            <w:vAlign w:val="center"/>
          </w:tcPr>
          <w:p w:rsidR="009D3AC5" w:rsidRPr="009D3AC5" w:rsidRDefault="009D3AC5" w:rsidP="009D3AC5">
            <w:pPr>
              <w:jc w:val="center"/>
              <w:rPr>
                <w:rFonts w:asciiTheme="minorHAnsi" w:hAnsiTheme="minorHAnsi" w:cs="Arial"/>
                <w:sz w:val="20"/>
                <w:szCs w:val="20"/>
              </w:rPr>
            </w:pPr>
            <w:r w:rsidRPr="009D3AC5">
              <w:rPr>
                <w:rFonts w:asciiTheme="minorHAnsi" w:hAnsiTheme="minorHAnsi" w:cs="Arial"/>
                <w:sz w:val="20"/>
                <w:szCs w:val="20"/>
              </w:rPr>
              <w:t>94</w:t>
            </w:r>
          </w:p>
        </w:tc>
        <w:tc>
          <w:tcPr>
            <w:tcW w:w="578" w:type="pct"/>
            <w:shd w:val="clear" w:color="auto" w:fill="auto"/>
            <w:noWrap/>
            <w:vAlign w:val="center"/>
          </w:tcPr>
          <w:p w:rsidR="009D3AC5" w:rsidRPr="0063431A" w:rsidRDefault="009D3AC5" w:rsidP="0063431A">
            <w:pPr>
              <w:jc w:val="center"/>
              <w:rPr>
                <w:rFonts w:asciiTheme="minorHAnsi" w:hAnsiTheme="minorHAnsi" w:cs="Arial"/>
                <w:sz w:val="20"/>
                <w:szCs w:val="20"/>
              </w:rPr>
            </w:pPr>
            <w:r w:rsidRPr="0063431A">
              <w:rPr>
                <w:rFonts w:asciiTheme="minorHAnsi" w:hAnsiTheme="minorHAnsi" w:cs="Arial"/>
                <w:sz w:val="20"/>
                <w:szCs w:val="20"/>
              </w:rPr>
              <w:t>0</w:t>
            </w:r>
          </w:p>
        </w:tc>
        <w:tc>
          <w:tcPr>
            <w:tcW w:w="578" w:type="pct"/>
            <w:shd w:val="clear" w:color="auto" w:fill="auto"/>
            <w:noWrap/>
            <w:vAlign w:val="center"/>
          </w:tcPr>
          <w:p w:rsidR="009D3AC5" w:rsidRPr="0063431A" w:rsidRDefault="009D3AC5" w:rsidP="0063431A">
            <w:pPr>
              <w:jc w:val="center"/>
              <w:rPr>
                <w:rFonts w:asciiTheme="minorHAnsi" w:hAnsiTheme="minorHAnsi" w:cs="Arial"/>
                <w:sz w:val="20"/>
                <w:szCs w:val="20"/>
              </w:rPr>
            </w:pPr>
            <w:r w:rsidRPr="0063431A">
              <w:rPr>
                <w:rFonts w:asciiTheme="minorHAnsi" w:hAnsiTheme="minorHAnsi" w:cs="Arial"/>
                <w:sz w:val="20"/>
                <w:szCs w:val="20"/>
              </w:rPr>
              <w:t>83</w:t>
            </w:r>
          </w:p>
        </w:tc>
        <w:tc>
          <w:tcPr>
            <w:tcW w:w="578" w:type="pct"/>
            <w:shd w:val="clear" w:color="auto" w:fill="auto"/>
            <w:vAlign w:val="center"/>
          </w:tcPr>
          <w:p w:rsidR="009D3AC5" w:rsidRPr="0063431A" w:rsidRDefault="009D3AC5" w:rsidP="0063431A">
            <w:pPr>
              <w:jc w:val="center"/>
              <w:rPr>
                <w:rFonts w:asciiTheme="minorHAnsi" w:hAnsiTheme="minorHAnsi" w:cs="Arial"/>
                <w:sz w:val="20"/>
                <w:szCs w:val="20"/>
              </w:rPr>
            </w:pPr>
            <w:r w:rsidRPr="0063431A">
              <w:rPr>
                <w:rFonts w:asciiTheme="minorHAnsi" w:hAnsiTheme="minorHAnsi" w:cs="Arial"/>
                <w:sz w:val="20"/>
                <w:szCs w:val="20"/>
              </w:rPr>
              <w:t>0</w:t>
            </w:r>
          </w:p>
        </w:tc>
        <w:tc>
          <w:tcPr>
            <w:tcW w:w="578" w:type="pct"/>
            <w:shd w:val="clear" w:color="auto" w:fill="auto"/>
            <w:noWrap/>
            <w:vAlign w:val="center"/>
          </w:tcPr>
          <w:p w:rsidR="009D3AC5" w:rsidRPr="0063431A" w:rsidRDefault="009D3AC5" w:rsidP="0063431A">
            <w:pPr>
              <w:jc w:val="center"/>
              <w:rPr>
                <w:rFonts w:asciiTheme="minorHAnsi" w:hAnsiTheme="minorHAnsi" w:cs="Arial"/>
                <w:sz w:val="20"/>
                <w:szCs w:val="20"/>
              </w:rPr>
            </w:pPr>
            <w:r w:rsidRPr="0063431A">
              <w:rPr>
                <w:rFonts w:asciiTheme="minorHAnsi" w:hAnsiTheme="minorHAnsi" w:cs="Arial"/>
                <w:sz w:val="20"/>
                <w:szCs w:val="20"/>
              </w:rPr>
              <w:t>83</w:t>
            </w:r>
          </w:p>
        </w:tc>
        <w:tc>
          <w:tcPr>
            <w:tcW w:w="576" w:type="pct"/>
            <w:tcBorders>
              <w:right w:val="double" w:sz="4" w:space="0" w:color="auto"/>
            </w:tcBorders>
            <w:shd w:val="clear" w:color="auto" w:fill="auto"/>
            <w:noWrap/>
            <w:vAlign w:val="center"/>
          </w:tcPr>
          <w:p w:rsidR="009D3AC5" w:rsidRPr="0063431A" w:rsidRDefault="009D3AC5" w:rsidP="0063431A">
            <w:pPr>
              <w:jc w:val="center"/>
              <w:rPr>
                <w:rFonts w:asciiTheme="minorHAnsi" w:hAnsiTheme="minorHAnsi" w:cs="Arial"/>
                <w:sz w:val="20"/>
                <w:szCs w:val="20"/>
              </w:rPr>
            </w:pPr>
            <w:r w:rsidRPr="0063431A">
              <w:rPr>
                <w:rFonts w:asciiTheme="minorHAnsi" w:hAnsiTheme="minorHAnsi" w:cs="Arial"/>
                <w:sz w:val="20"/>
                <w:szCs w:val="20"/>
              </w:rPr>
              <w:t>0</w:t>
            </w:r>
          </w:p>
        </w:tc>
      </w:tr>
      <w:tr w:rsidR="009D3AC5" w:rsidRPr="0022296B" w:rsidTr="009D3AC5">
        <w:trPr>
          <w:trHeight w:val="255"/>
          <w:jc w:val="center"/>
        </w:trPr>
        <w:tc>
          <w:tcPr>
            <w:tcW w:w="746" w:type="pct"/>
            <w:tcBorders>
              <w:left w:val="double" w:sz="4" w:space="0" w:color="auto"/>
            </w:tcBorders>
            <w:shd w:val="clear" w:color="auto" w:fill="auto"/>
            <w:noWrap/>
            <w:vAlign w:val="center"/>
          </w:tcPr>
          <w:p w:rsidR="009D3AC5" w:rsidRPr="0022296B" w:rsidRDefault="009D3AC5" w:rsidP="00A96627">
            <w:pPr>
              <w:jc w:val="center"/>
              <w:rPr>
                <w:rFonts w:ascii="Arial" w:hAnsi="Arial" w:cs="Arial"/>
                <w:b/>
                <w:sz w:val="20"/>
                <w:szCs w:val="20"/>
              </w:rPr>
            </w:pPr>
            <w:r w:rsidRPr="0022296B">
              <w:rPr>
                <w:rFonts w:ascii="Arial" w:hAnsi="Arial" w:cs="Arial"/>
                <w:b/>
                <w:sz w:val="20"/>
                <w:szCs w:val="20"/>
              </w:rPr>
              <w:t>T4</w:t>
            </w:r>
          </w:p>
        </w:tc>
        <w:tc>
          <w:tcPr>
            <w:tcW w:w="788" w:type="pct"/>
            <w:shd w:val="clear" w:color="auto" w:fill="auto"/>
            <w:vAlign w:val="center"/>
          </w:tcPr>
          <w:p w:rsidR="009D3AC5" w:rsidRPr="0063431A" w:rsidRDefault="009D3AC5" w:rsidP="00A96627">
            <w:pPr>
              <w:jc w:val="center"/>
              <w:rPr>
                <w:rFonts w:asciiTheme="minorHAnsi" w:hAnsiTheme="minorHAnsi" w:cs="Arial"/>
                <w:sz w:val="18"/>
                <w:szCs w:val="20"/>
              </w:rPr>
            </w:pPr>
            <w:r w:rsidRPr="0063431A">
              <w:rPr>
                <w:rFonts w:asciiTheme="minorHAnsi" w:hAnsiTheme="minorHAnsi" w:cs="Arial"/>
                <w:sz w:val="18"/>
                <w:szCs w:val="20"/>
              </w:rPr>
              <w:t>Reposición PS Rendimiento objetivo alto</w:t>
            </w:r>
          </w:p>
        </w:tc>
        <w:tc>
          <w:tcPr>
            <w:tcW w:w="578" w:type="pct"/>
            <w:shd w:val="clear" w:color="auto" w:fill="auto"/>
            <w:vAlign w:val="center"/>
          </w:tcPr>
          <w:p w:rsidR="009D3AC5" w:rsidRPr="009D3AC5" w:rsidRDefault="009D3AC5" w:rsidP="009D3AC5">
            <w:pPr>
              <w:jc w:val="center"/>
              <w:rPr>
                <w:rFonts w:asciiTheme="minorHAnsi" w:hAnsiTheme="minorHAnsi" w:cs="Arial"/>
                <w:sz w:val="20"/>
                <w:szCs w:val="20"/>
              </w:rPr>
            </w:pPr>
            <w:r w:rsidRPr="009D3AC5">
              <w:rPr>
                <w:rFonts w:asciiTheme="minorHAnsi" w:hAnsiTheme="minorHAnsi" w:cs="Arial"/>
                <w:sz w:val="20"/>
                <w:szCs w:val="20"/>
              </w:rPr>
              <w:t>114</w:t>
            </w:r>
          </w:p>
        </w:tc>
        <w:tc>
          <w:tcPr>
            <w:tcW w:w="578" w:type="pct"/>
            <w:shd w:val="clear" w:color="auto" w:fill="auto"/>
            <w:noWrap/>
            <w:vAlign w:val="center"/>
          </w:tcPr>
          <w:p w:rsidR="009D3AC5" w:rsidRPr="0063431A" w:rsidRDefault="009D3AC5" w:rsidP="0063431A">
            <w:pPr>
              <w:jc w:val="center"/>
              <w:rPr>
                <w:rFonts w:asciiTheme="minorHAnsi" w:hAnsiTheme="minorHAnsi" w:cs="Arial"/>
                <w:sz w:val="20"/>
                <w:szCs w:val="20"/>
              </w:rPr>
            </w:pPr>
            <w:r w:rsidRPr="0063431A">
              <w:rPr>
                <w:rFonts w:asciiTheme="minorHAnsi" w:hAnsiTheme="minorHAnsi" w:cs="Arial"/>
                <w:sz w:val="20"/>
                <w:szCs w:val="20"/>
              </w:rPr>
              <w:t>0</w:t>
            </w:r>
          </w:p>
        </w:tc>
        <w:tc>
          <w:tcPr>
            <w:tcW w:w="578" w:type="pct"/>
            <w:shd w:val="clear" w:color="auto" w:fill="auto"/>
            <w:noWrap/>
            <w:vAlign w:val="center"/>
          </w:tcPr>
          <w:p w:rsidR="009D3AC5" w:rsidRPr="0063431A" w:rsidRDefault="009D3AC5" w:rsidP="0063431A">
            <w:pPr>
              <w:jc w:val="center"/>
              <w:rPr>
                <w:rFonts w:asciiTheme="minorHAnsi" w:hAnsiTheme="minorHAnsi" w:cs="Arial"/>
                <w:sz w:val="20"/>
                <w:szCs w:val="20"/>
              </w:rPr>
            </w:pPr>
            <w:r w:rsidRPr="0063431A">
              <w:rPr>
                <w:rFonts w:asciiTheme="minorHAnsi" w:hAnsiTheme="minorHAnsi" w:cs="Arial"/>
                <w:sz w:val="20"/>
                <w:szCs w:val="20"/>
              </w:rPr>
              <w:t>113</w:t>
            </w:r>
          </w:p>
        </w:tc>
        <w:tc>
          <w:tcPr>
            <w:tcW w:w="578" w:type="pct"/>
            <w:shd w:val="clear" w:color="auto" w:fill="auto"/>
            <w:vAlign w:val="center"/>
          </w:tcPr>
          <w:p w:rsidR="009D3AC5" w:rsidRPr="0063431A" w:rsidRDefault="009D3AC5" w:rsidP="0063431A">
            <w:pPr>
              <w:jc w:val="center"/>
              <w:rPr>
                <w:rFonts w:asciiTheme="minorHAnsi" w:hAnsiTheme="minorHAnsi" w:cs="Arial"/>
                <w:sz w:val="20"/>
                <w:szCs w:val="20"/>
              </w:rPr>
            </w:pPr>
            <w:r w:rsidRPr="0063431A">
              <w:rPr>
                <w:rFonts w:asciiTheme="minorHAnsi" w:hAnsiTheme="minorHAnsi" w:cs="Arial"/>
                <w:sz w:val="20"/>
                <w:szCs w:val="20"/>
              </w:rPr>
              <w:t>0</w:t>
            </w:r>
          </w:p>
        </w:tc>
        <w:tc>
          <w:tcPr>
            <w:tcW w:w="578" w:type="pct"/>
            <w:shd w:val="clear" w:color="auto" w:fill="auto"/>
            <w:noWrap/>
            <w:vAlign w:val="center"/>
          </w:tcPr>
          <w:p w:rsidR="009D3AC5" w:rsidRPr="0063431A" w:rsidRDefault="009D3AC5" w:rsidP="0063431A">
            <w:pPr>
              <w:jc w:val="center"/>
              <w:rPr>
                <w:rFonts w:asciiTheme="minorHAnsi" w:hAnsiTheme="minorHAnsi" w:cs="Arial"/>
                <w:sz w:val="20"/>
                <w:szCs w:val="20"/>
              </w:rPr>
            </w:pPr>
            <w:r w:rsidRPr="0063431A">
              <w:rPr>
                <w:rFonts w:asciiTheme="minorHAnsi" w:hAnsiTheme="minorHAnsi" w:cs="Arial"/>
                <w:sz w:val="20"/>
                <w:szCs w:val="20"/>
              </w:rPr>
              <w:t>113</w:t>
            </w:r>
          </w:p>
        </w:tc>
        <w:tc>
          <w:tcPr>
            <w:tcW w:w="576" w:type="pct"/>
            <w:tcBorders>
              <w:right w:val="double" w:sz="4" w:space="0" w:color="auto"/>
            </w:tcBorders>
            <w:shd w:val="clear" w:color="auto" w:fill="auto"/>
            <w:noWrap/>
            <w:vAlign w:val="center"/>
          </w:tcPr>
          <w:p w:rsidR="009D3AC5" w:rsidRPr="0063431A" w:rsidRDefault="009D3AC5" w:rsidP="0063431A">
            <w:pPr>
              <w:jc w:val="center"/>
              <w:rPr>
                <w:rFonts w:asciiTheme="minorHAnsi" w:hAnsiTheme="minorHAnsi" w:cs="Arial"/>
                <w:sz w:val="20"/>
                <w:szCs w:val="20"/>
              </w:rPr>
            </w:pPr>
            <w:r w:rsidRPr="0063431A">
              <w:rPr>
                <w:rFonts w:asciiTheme="minorHAnsi" w:hAnsiTheme="minorHAnsi" w:cs="Arial"/>
                <w:sz w:val="20"/>
                <w:szCs w:val="20"/>
              </w:rPr>
              <w:t>0</w:t>
            </w:r>
          </w:p>
        </w:tc>
      </w:tr>
      <w:tr w:rsidR="009D3AC5" w:rsidRPr="0022296B" w:rsidTr="009D3AC5">
        <w:trPr>
          <w:trHeight w:val="817"/>
          <w:jc w:val="center"/>
        </w:trPr>
        <w:tc>
          <w:tcPr>
            <w:tcW w:w="746" w:type="pct"/>
            <w:tcBorders>
              <w:left w:val="double" w:sz="4" w:space="0" w:color="auto"/>
              <w:bottom w:val="double" w:sz="4" w:space="0" w:color="auto"/>
            </w:tcBorders>
            <w:shd w:val="clear" w:color="auto" w:fill="auto"/>
            <w:noWrap/>
            <w:vAlign w:val="center"/>
          </w:tcPr>
          <w:p w:rsidR="009D3AC5" w:rsidRPr="0022296B" w:rsidRDefault="009D3AC5" w:rsidP="00A96627">
            <w:pPr>
              <w:jc w:val="center"/>
              <w:rPr>
                <w:rFonts w:ascii="Arial" w:hAnsi="Arial" w:cs="Arial"/>
                <w:b/>
                <w:sz w:val="20"/>
                <w:szCs w:val="20"/>
              </w:rPr>
            </w:pPr>
            <w:r w:rsidRPr="0022296B">
              <w:rPr>
                <w:rFonts w:ascii="Arial" w:hAnsi="Arial" w:cs="Arial"/>
                <w:b/>
                <w:sz w:val="20"/>
                <w:szCs w:val="20"/>
              </w:rPr>
              <w:t>T5</w:t>
            </w:r>
          </w:p>
        </w:tc>
        <w:tc>
          <w:tcPr>
            <w:tcW w:w="788" w:type="pct"/>
            <w:tcBorders>
              <w:bottom w:val="double" w:sz="4" w:space="0" w:color="auto"/>
            </w:tcBorders>
            <w:shd w:val="clear" w:color="auto" w:fill="auto"/>
            <w:vAlign w:val="center"/>
          </w:tcPr>
          <w:p w:rsidR="009D3AC5" w:rsidRPr="0063431A" w:rsidRDefault="009D3AC5" w:rsidP="00A96627">
            <w:pPr>
              <w:jc w:val="center"/>
              <w:rPr>
                <w:rFonts w:asciiTheme="minorHAnsi" w:hAnsiTheme="minorHAnsi" w:cs="Arial"/>
                <w:sz w:val="18"/>
                <w:szCs w:val="20"/>
              </w:rPr>
            </w:pPr>
            <w:r w:rsidRPr="0063431A">
              <w:rPr>
                <w:rFonts w:asciiTheme="minorHAnsi" w:hAnsiTheme="minorHAnsi" w:cs="Arial"/>
                <w:sz w:val="18"/>
                <w:szCs w:val="20"/>
              </w:rPr>
              <w:t>Reposición S Reconstrucción P Rendimiento objetivo alto</w:t>
            </w:r>
          </w:p>
        </w:tc>
        <w:tc>
          <w:tcPr>
            <w:tcW w:w="578" w:type="pct"/>
            <w:tcBorders>
              <w:bottom w:val="double" w:sz="4" w:space="0" w:color="auto"/>
            </w:tcBorders>
            <w:shd w:val="clear" w:color="auto" w:fill="auto"/>
            <w:vAlign w:val="center"/>
          </w:tcPr>
          <w:p w:rsidR="009D3AC5" w:rsidRPr="009D3AC5" w:rsidRDefault="009D3AC5" w:rsidP="009D3AC5">
            <w:pPr>
              <w:jc w:val="center"/>
              <w:rPr>
                <w:rFonts w:asciiTheme="minorHAnsi" w:hAnsiTheme="minorHAnsi" w:cs="Arial"/>
                <w:sz w:val="20"/>
                <w:szCs w:val="20"/>
              </w:rPr>
            </w:pPr>
            <w:r w:rsidRPr="009D3AC5">
              <w:rPr>
                <w:rFonts w:asciiTheme="minorHAnsi" w:hAnsiTheme="minorHAnsi" w:cs="Arial"/>
                <w:sz w:val="20"/>
                <w:szCs w:val="20"/>
              </w:rPr>
              <w:t>114</w:t>
            </w:r>
          </w:p>
        </w:tc>
        <w:tc>
          <w:tcPr>
            <w:tcW w:w="578" w:type="pct"/>
            <w:tcBorders>
              <w:bottom w:val="double" w:sz="4" w:space="0" w:color="auto"/>
            </w:tcBorders>
            <w:shd w:val="clear" w:color="auto" w:fill="auto"/>
            <w:noWrap/>
            <w:vAlign w:val="center"/>
          </w:tcPr>
          <w:p w:rsidR="009D3AC5" w:rsidRPr="0063431A" w:rsidRDefault="009D3AC5" w:rsidP="0063431A">
            <w:pPr>
              <w:jc w:val="center"/>
              <w:rPr>
                <w:rFonts w:asciiTheme="minorHAnsi" w:hAnsiTheme="minorHAnsi" w:cs="Arial"/>
                <w:sz w:val="20"/>
                <w:szCs w:val="20"/>
              </w:rPr>
            </w:pPr>
            <w:r w:rsidRPr="0063431A">
              <w:rPr>
                <w:rFonts w:asciiTheme="minorHAnsi" w:hAnsiTheme="minorHAnsi" w:cs="Arial"/>
                <w:sz w:val="20"/>
                <w:szCs w:val="20"/>
              </w:rPr>
              <w:t>0</w:t>
            </w:r>
          </w:p>
        </w:tc>
        <w:tc>
          <w:tcPr>
            <w:tcW w:w="578" w:type="pct"/>
            <w:tcBorders>
              <w:bottom w:val="double" w:sz="4" w:space="0" w:color="auto"/>
            </w:tcBorders>
            <w:shd w:val="clear" w:color="auto" w:fill="auto"/>
            <w:noWrap/>
            <w:vAlign w:val="center"/>
          </w:tcPr>
          <w:p w:rsidR="009D3AC5" w:rsidRPr="0063431A" w:rsidRDefault="009D3AC5" w:rsidP="0063431A">
            <w:pPr>
              <w:jc w:val="center"/>
              <w:rPr>
                <w:rFonts w:asciiTheme="minorHAnsi" w:hAnsiTheme="minorHAnsi" w:cs="Arial"/>
                <w:sz w:val="20"/>
                <w:szCs w:val="20"/>
              </w:rPr>
            </w:pPr>
            <w:r w:rsidRPr="0063431A">
              <w:rPr>
                <w:rFonts w:asciiTheme="minorHAnsi" w:hAnsiTheme="minorHAnsi" w:cs="Arial"/>
                <w:sz w:val="20"/>
                <w:szCs w:val="20"/>
              </w:rPr>
              <w:t>113</w:t>
            </w:r>
          </w:p>
        </w:tc>
        <w:tc>
          <w:tcPr>
            <w:tcW w:w="578" w:type="pct"/>
            <w:tcBorders>
              <w:bottom w:val="double" w:sz="4" w:space="0" w:color="auto"/>
            </w:tcBorders>
            <w:shd w:val="clear" w:color="auto" w:fill="auto"/>
            <w:vAlign w:val="center"/>
          </w:tcPr>
          <w:p w:rsidR="009D3AC5" w:rsidRPr="0063431A" w:rsidRDefault="009D3AC5" w:rsidP="0063431A">
            <w:pPr>
              <w:jc w:val="center"/>
              <w:rPr>
                <w:rFonts w:asciiTheme="minorHAnsi" w:hAnsiTheme="minorHAnsi" w:cs="Arial"/>
                <w:sz w:val="20"/>
                <w:szCs w:val="20"/>
              </w:rPr>
            </w:pPr>
            <w:r w:rsidRPr="0063431A">
              <w:rPr>
                <w:rFonts w:asciiTheme="minorHAnsi" w:hAnsiTheme="minorHAnsi" w:cs="Arial"/>
                <w:sz w:val="20"/>
                <w:szCs w:val="20"/>
              </w:rPr>
              <w:t>0</w:t>
            </w:r>
          </w:p>
        </w:tc>
        <w:tc>
          <w:tcPr>
            <w:tcW w:w="578" w:type="pct"/>
            <w:tcBorders>
              <w:bottom w:val="double" w:sz="4" w:space="0" w:color="auto"/>
            </w:tcBorders>
            <w:shd w:val="clear" w:color="auto" w:fill="auto"/>
            <w:noWrap/>
            <w:vAlign w:val="center"/>
          </w:tcPr>
          <w:p w:rsidR="009D3AC5" w:rsidRPr="0063431A" w:rsidRDefault="009D3AC5" w:rsidP="0063431A">
            <w:pPr>
              <w:jc w:val="center"/>
              <w:rPr>
                <w:rFonts w:asciiTheme="minorHAnsi" w:hAnsiTheme="minorHAnsi" w:cs="Arial"/>
                <w:sz w:val="20"/>
                <w:szCs w:val="20"/>
              </w:rPr>
            </w:pPr>
            <w:r w:rsidRPr="0063431A">
              <w:rPr>
                <w:rFonts w:asciiTheme="minorHAnsi" w:hAnsiTheme="minorHAnsi" w:cs="Arial"/>
                <w:sz w:val="20"/>
                <w:szCs w:val="20"/>
              </w:rPr>
              <w:t>113</w:t>
            </w:r>
          </w:p>
        </w:tc>
        <w:tc>
          <w:tcPr>
            <w:tcW w:w="576" w:type="pct"/>
            <w:tcBorders>
              <w:bottom w:val="double" w:sz="4" w:space="0" w:color="auto"/>
              <w:right w:val="double" w:sz="4" w:space="0" w:color="auto"/>
            </w:tcBorders>
            <w:shd w:val="clear" w:color="auto" w:fill="auto"/>
            <w:noWrap/>
            <w:vAlign w:val="center"/>
          </w:tcPr>
          <w:p w:rsidR="009D3AC5" w:rsidRPr="0063431A" w:rsidRDefault="009D3AC5" w:rsidP="0063431A">
            <w:pPr>
              <w:jc w:val="center"/>
              <w:rPr>
                <w:rFonts w:asciiTheme="minorHAnsi" w:hAnsiTheme="minorHAnsi" w:cs="Arial"/>
                <w:sz w:val="20"/>
                <w:szCs w:val="20"/>
              </w:rPr>
            </w:pPr>
            <w:r w:rsidRPr="0063431A">
              <w:rPr>
                <w:rFonts w:asciiTheme="minorHAnsi" w:hAnsiTheme="minorHAnsi" w:cs="Arial"/>
                <w:sz w:val="20"/>
                <w:szCs w:val="20"/>
              </w:rPr>
              <w:t>0</w:t>
            </w:r>
          </w:p>
        </w:tc>
      </w:tr>
      <w:tr w:rsidR="00877F94" w:rsidRPr="00877F94" w:rsidTr="00877F94">
        <w:trPr>
          <w:trHeight w:val="255"/>
          <w:jc w:val="center"/>
        </w:trPr>
        <w:tc>
          <w:tcPr>
            <w:tcW w:w="5000" w:type="pct"/>
            <w:gridSpan w:val="8"/>
            <w:tcBorders>
              <w:top w:val="double" w:sz="4" w:space="0" w:color="auto"/>
              <w:left w:val="nil"/>
              <w:bottom w:val="nil"/>
              <w:right w:val="nil"/>
            </w:tcBorders>
            <w:shd w:val="clear" w:color="auto" w:fill="auto"/>
            <w:noWrap/>
            <w:vAlign w:val="center"/>
          </w:tcPr>
          <w:p w:rsidR="00877F94" w:rsidRPr="00877F94" w:rsidRDefault="00877F94" w:rsidP="00877F94"/>
        </w:tc>
      </w:tr>
      <w:tr w:rsidR="00A00B47" w:rsidRPr="00877F94" w:rsidTr="00877F94">
        <w:trPr>
          <w:trHeight w:val="255"/>
          <w:jc w:val="center"/>
        </w:trPr>
        <w:tc>
          <w:tcPr>
            <w:tcW w:w="5000" w:type="pct"/>
            <w:gridSpan w:val="8"/>
            <w:tcBorders>
              <w:top w:val="double" w:sz="4" w:space="0" w:color="auto"/>
              <w:left w:val="nil"/>
              <w:bottom w:val="nil"/>
              <w:right w:val="nil"/>
            </w:tcBorders>
            <w:shd w:val="clear" w:color="auto" w:fill="auto"/>
            <w:noWrap/>
            <w:vAlign w:val="center"/>
          </w:tcPr>
          <w:p w:rsidR="00A00B47" w:rsidRPr="00877F94" w:rsidRDefault="00A00B47" w:rsidP="00877F94"/>
        </w:tc>
      </w:tr>
      <w:tr w:rsidR="0063431A" w:rsidRPr="0022296B" w:rsidTr="00877F94">
        <w:trPr>
          <w:trHeight w:val="255"/>
          <w:jc w:val="center"/>
        </w:trPr>
        <w:tc>
          <w:tcPr>
            <w:tcW w:w="746" w:type="pct"/>
            <w:tcBorders>
              <w:top w:val="double" w:sz="4" w:space="0" w:color="auto"/>
              <w:left w:val="double" w:sz="4" w:space="0" w:color="auto"/>
              <w:bottom w:val="nil"/>
            </w:tcBorders>
            <w:shd w:val="clear" w:color="auto" w:fill="auto"/>
            <w:noWrap/>
            <w:vAlign w:val="center"/>
          </w:tcPr>
          <w:p w:rsidR="0063431A" w:rsidRPr="0022296B" w:rsidRDefault="0063431A" w:rsidP="000962B0">
            <w:pPr>
              <w:jc w:val="center"/>
              <w:rPr>
                <w:rFonts w:ascii="Arial" w:hAnsi="Arial" w:cs="Arial"/>
                <w:sz w:val="20"/>
                <w:szCs w:val="20"/>
              </w:rPr>
            </w:pPr>
          </w:p>
        </w:tc>
        <w:tc>
          <w:tcPr>
            <w:tcW w:w="788" w:type="pct"/>
            <w:tcBorders>
              <w:top w:val="double" w:sz="4" w:space="0" w:color="auto"/>
              <w:bottom w:val="nil"/>
            </w:tcBorders>
            <w:shd w:val="clear" w:color="auto" w:fill="auto"/>
            <w:vAlign w:val="center"/>
          </w:tcPr>
          <w:p w:rsidR="0063431A" w:rsidRPr="0022296B" w:rsidRDefault="0063431A" w:rsidP="000962B0">
            <w:pPr>
              <w:jc w:val="center"/>
              <w:rPr>
                <w:rFonts w:ascii="Arial" w:hAnsi="Arial" w:cs="Arial"/>
                <w:b/>
                <w:sz w:val="20"/>
                <w:szCs w:val="20"/>
              </w:rPr>
            </w:pPr>
          </w:p>
        </w:tc>
        <w:tc>
          <w:tcPr>
            <w:tcW w:w="3466" w:type="pct"/>
            <w:gridSpan w:val="6"/>
            <w:tcBorders>
              <w:top w:val="double" w:sz="4" w:space="0" w:color="auto"/>
              <w:bottom w:val="nil"/>
              <w:right w:val="double" w:sz="4" w:space="0" w:color="auto"/>
            </w:tcBorders>
            <w:shd w:val="clear" w:color="auto" w:fill="auto"/>
            <w:vAlign w:val="center"/>
          </w:tcPr>
          <w:p w:rsidR="0063431A" w:rsidRPr="0022296B" w:rsidRDefault="009D3AC5" w:rsidP="000962B0">
            <w:pPr>
              <w:jc w:val="center"/>
              <w:rPr>
                <w:rFonts w:ascii="Arial" w:hAnsi="Arial" w:cs="Arial"/>
                <w:b/>
                <w:bCs/>
                <w:sz w:val="20"/>
                <w:szCs w:val="20"/>
              </w:rPr>
            </w:pPr>
            <w:r>
              <w:rPr>
                <w:rFonts w:ascii="Arial" w:hAnsi="Arial" w:cs="Arial"/>
                <w:b/>
                <w:bCs/>
                <w:sz w:val="20"/>
                <w:szCs w:val="20"/>
              </w:rPr>
              <w:t>Fósforo (P</w:t>
            </w:r>
            <w:r w:rsidR="0063431A">
              <w:rPr>
                <w:rFonts w:ascii="Arial" w:hAnsi="Arial" w:cs="Arial"/>
                <w:b/>
                <w:bCs/>
                <w:sz w:val="20"/>
                <w:szCs w:val="20"/>
              </w:rPr>
              <w:t>)</w:t>
            </w:r>
          </w:p>
        </w:tc>
      </w:tr>
      <w:tr w:rsidR="009D3AC5" w:rsidRPr="0022296B" w:rsidTr="0063431A">
        <w:trPr>
          <w:trHeight w:val="255"/>
          <w:jc w:val="center"/>
        </w:trPr>
        <w:tc>
          <w:tcPr>
            <w:tcW w:w="746" w:type="pct"/>
            <w:tcBorders>
              <w:top w:val="double" w:sz="4" w:space="0" w:color="auto"/>
              <w:left w:val="double" w:sz="4" w:space="0" w:color="auto"/>
              <w:bottom w:val="nil"/>
            </w:tcBorders>
            <w:shd w:val="clear" w:color="auto" w:fill="auto"/>
            <w:noWrap/>
            <w:vAlign w:val="center"/>
          </w:tcPr>
          <w:p w:rsidR="009D3AC5" w:rsidRPr="0022296B" w:rsidRDefault="009D3AC5" w:rsidP="000962B0">
            <w:pPr>
              <w:jc w:val="center"/>
              <w:rPr>
                <w:rFonts w:ascii="Arial" w:hAnsi="Arial" w:cs="Arial"/>
                <w:sz w:val="20"/>
                <w:szCs w:val="20"/>
              </w:rPr>
            </w:pPr>
            <w:r w:rsidRPr="0022296B">
              <w:rPr>
                <w:rFonts w:ascii="Arial" w:hAnsi="Arial" w:cs="Arial"/>
                <w:b/>
                <w:sz w:val="20"/>
                <w:szCs w:val="20"/>
              </w:rPr>
              <w:t>Tratamiento</w:t>
            </w:r>
          </w:p>
        </w:tc>
        <w:tc>
          <w:tcPr>
            <w:tcW w:w="788" w:type="pct"/>
            <w:tcBorders>
              <w:top w:val="double" w:sz="4" w:space="0" w:color="auto"/>
              <w:bottom w:val="nil"/>
            </w:tcBorders>
            <w:shd w:val="clear" w:color="auto" w:fill="auto"/>
            <w:vAlign w:val="center"/>
          </w:tcPr>
          <w:p w:rsidR="009D3AC5" w:rsidRPr="0022296B" w:rsidRDefault="009D3AC5" w:rsidP="000962B0">
            <w:pPr>
              <w:jc w:val="center"/>
              <w:rPr>
                <w:rFonts w:ascii="Arial" w:hAnsi="Arial" w:cs="Arial"/>
                <w:b/>
                <w:sz w:val="20"/>
                <w:szCs w:val="20"/>
              </w:rPr>
            </w:pPr>
            <w:r w:rsidRPr="0022296B">
              <w:rPr>
                <w:rFonts w:ascii="Arial" w:hAnsi="Arial" w:cs="Arial"/>
                <w:b/>
                <w:sz w:val="20"/>
                <w:szCs w:val="20"/>
              </w:rPr>
              <w:t>Criterio de</w:t>
            </w:r>
          </w:p>
        </w:tc>
        <w:tc>
          <w:tcPr>
            <w:tcW w:w="578" w:type="pct"/>
            <w:tcBorders>
              <w:top w:val="double" w:sz="4" w:space="0" w:color="auto"/>
              <w:bottom w:val="nil"/>
            </w:tcBorders>
            <w:shd w:val="clear" w:color="auto" w:fill="auto"/>
            <w:vAlign w:val="center"/>
          </w:tcPr>
          <w:p w:rsidR="009D3AC5" w:rsidRPr="0022296B" w:rsidRDefault="009D3AC5" w:rsidP="000962B0">
            <w:pPr>
              <w:jc w:val="center"/>
              <w:rPr>
                <w:rFonts w:ascii="Arial" w:hAnsi="Arial" w:cs="Arial"/>
                <w:b/>
                <w:bCs/>
                <w:sz w:val="20"/>
                <w:szCs w:val="20"/>
              </w:rPr>
            </w:pPr>
            <w:r>
              <w:rPr>
                <w:rFonts w:ascii="Arial" w:hAnsi="Arial" w:cs="Arial"/>
                <w:b/>
                <w:bCs/>
                <w:sz w:val="20"/>
                <w:szCs w:val="20"/>
              </w:rPr>
              <w:t>maíz</w:t>
            </w:r>
          </w:p>
        </w:tc>
        <w:tc>
          <w:tcPr>
            <w:tcW w:w="578" w:type="pct"/>
            <w:tcBorders>
              <w:top w:val="double" w:sz="4" w:space="0" w:color="auto"/>
              <w:bottom w:val="nil"/>
            </w:tcBorders>
            <w:shd w:val="clear" w:color="auto" w:fill="auto"/>
            <w:noWrap/>
            <w:vAlign w:val="center"/>
          </w:tcPr>
          <w:p w:rsidR="009D3AC5" w:rsidRPr="0022296B" w:rsidRDefault="009D3AC5" w:rsidP="000962B0">
            <w:pPr>
              <w:jc w:val="center"/>
              <w:rPr>
                <w:rFonts w:ascii="Arial" w:hAnsi="Arial" w:cs="Arial"/>
                <w:b/>
                <w:bCs/>
                <w:sz w:val="20"/>
                <w:szCs w:val="20"/>
              </w:rPr>
            </w:pPr>
            <w:r>
              <w:rPr>
                <w:rFonts w:ascii="Arial" w:hAnsi="Arial" w:cs="Arial"/>
                <w:b/>
                <w:bCs/>
                <w:sz w:val="20"/>
                <w:szCs w:val="20"/>
              </w:rPr>
              <w:t>soja</w:t>
            </w:r>
          </w:p>
        </w:tc>
        <w:tc>
          <w:tcPr>
            <w:tcW w:w="578" w:type="pct"/>
            <w:tcBorders>
              <w:top w:val="double" w:sz="4" w:space="0" w:color="auto"/>
              <w:bottom w:val="nil"/>
            </w:tcBorders>
            <w:shd w:val="clear" w:color="auto" w:fill="auto"/>
            <w:noWrap/>
            <w:vAlign w:val="center"/>
          </w:tcPr>
          <w:p w:rsidR="009D3AC5" w:rsidRPr="0022296B" w:rsidRDefault="009D3AC5" w:rsidP="000962B0">
            <w:pPr>
              <w:jc w:val="center"/>
              <w:rPr>
                <w:rFonts w:ascii="Arial" w:hAnsi="Arial" w:cs="Arial"/>
                <w:b/>
                <w:bCs/>
                <w:sz w:val="20"/>
                <w:szCs w:val="20"/>
              </w:rPr>
            </w:pPr>
            <w:r>
              <w:rPr>
                <w:rFonts w:ascii="Arial" w:hAnsi="Arial" w:cs="Arial"/>
                <w:b/>
                <w:bCs/>
                <w:sz w:val="20"/>
                <w:szCs w:val="20"/>
              </w:rPr>
              <w:t>trigo</w:t>
            </w:r>
          </w:p>
        </w:tc>
        <w:tc>
          <w:tcPr>
            <w:tcW w:w="578" w:type="pct"/>
            <w:tcBorders>
              <w:top w:val="double" w:sz="4" w:space="0" w:color="auto"/>
              <w:bottom w:val="nil"/>
            </w:tcBorders>
            <w:shd w:val="clear" w:color="auto" w:fill="auto"/>
            <w:vAlign w:val="center"/>
          </w:tcPr>
          <w:p w:rsidR="009D3AC5" w:rsidRPr="0022296B" w:rsidRDefault="009D3AC5" w:rsidP="000962B0">
            <w:pPr>
              <w:jc w:val="center"/>
              <w:rPr>
                <w:rFonts w:ascii="Arial" w:hAnsi="Arial" w:cs="Arial"/>
                <w:b/>
                <w:bCs/>
                <w:sz w:val="20"/>
                <w:szCs w:val="20"/>
              </w:rPr>
            </w:pPr>
            <w:r>
              <w:rPr>
                <w:rFonts w:ascii="Arial" w:hAnsi="Arial" w:cs="Arial"/>
                <w:b/>
                <w:bCs/>
                <w:sz w:val="20"/>
                <w:szCs w:val="20"/>
              </w:rPr>
              <w:t>soja 2</w:t>
            </w:r>
            <w:r w:rsidRPr="0063431A">
              <w:rPr>
                <w:rFonts w:ascii="Arial" w:hAnsi="Arial" w:cs="Arial"/>
                <w:b/>
                <w:bCs/>
                <w:sz w:val="20"/>
                <w:szCs w:val="20"/>
                <w:vertAlign w:val="superscript"/>
              </w:rPr>
              <w:t>da</w:t>
            </w:r>
          </w:p>
        </w:tc>
        <w:tc>
          <w:tcPr>
            <w:tcW w:w="578" w:type="pct"/>
            <w:tcBorders>
              <w:top w:val="double" w:sz="4" w:space="0" w:color="auto"/>
              <w:bottom w:val="nil"/>
            </w:tcBorders>
            <w:shd w:val="clear" w:color="auto" w:fill="auto"/>
            <w:noWrap/>
            <w:vAlign w:val="center"/>
          </w:tcPr>
          <w:p w:rsidR="009D3AC5" w:rsidRPr="0022296B" w:rsidRDefault="009D3AC5" w:rsidP="000962B0">
            <w:pPr>
              <w:jc w:val="center"/>
              <w:rPr>
                <w:rFonts w:ascii="Arial" w:hAnsi="Arial" w:cs="Arial"/>
                <w:b/>
                <w:bCs/>
                <w:sz w:val="20"/>
                <w:szCs w:val="20"/>
              </w:rPr>
            </w:pPr>
            <w:r>
              <w:rPr>
                <w:rFonts w:ascii="Arial" w:hAnsi="Arial" w:cs="Arial"/>
                <w:b/>
                <w:bCs/>
                <w:sz w:val="20"/>
                <w:szCs w:val="20"/>
              </w:rPr>
              <w:t>cebada</w:t>
            </w:r>
          </w:p>
        </w:tc>
        <w:tc>
          <w:tcPr>
            <w:tcW w:w="576" w:type="pct"/>
            <w:tcBorders>
              <w:top w:val="double" w:sz="4" w:space="0" w:color="auto"/>
              <w:bottom w:val="nil"/>
              <w:right w:val="double" w:sz="4" w:space="0" w:color="auto"/>
            </w:tcBorders>
            <w:shd w:val="clear" w:color="auto" w:fill="auto"/>
            <w:noWrap/>
            <w:vAlign w:val="center"/>
          </w:tcPr>
          <w:p w:rsidR="009D3AC5" w:rsidRPr="0022296B" w:rsidRDefault="009D3AC5" w:rsidP="000962B0">
            <w:pPr>
              <w:jc w:val="center"/>
              <w:rPr>
                <w:rFonts w:ascii="Arial" w:hAnsi="Arial" w:cs="Arial"/>
                <w:b/>
                <w:bCs/>
                <w:sz w:val="20"/>
                <w:szCs w:val="20"/>
              </w:rPr>
            </w:pPr>
            <w:r>
              <w:rPr>
                <w:rFonts w:ascii="Arial" w:hAnsi="Arial" w:cs="Arial"/>
                <w:b/>
                <w:bCs/>
                <w:sz w:val="20"/>
                <w:szCs w:val="20"/>
              </w:rPr>
              <w:t>soja 2</w:t>
            </w:r>
            <w:r w:rsidRPr="0063431A">
              <w:rPr>
                <w:rFonts w:ascii="Arial" w:hAnsi="Arial" w:cs="Arial"/>
                <w:b/>
                <w:bCs/>
                <w:sz w:val="20"/>
                <w:szCs w:val="20"/>
                <w:vertAlign w:val="superscript"/>
              </w:rPr>
              <w:t>da</w:t>
            </w:r>
          </w:p>
        </w:tc>
      </w:tr>
      <w:tr w:rsidR="0063431A" w:rsidRPr="0022296B" w:rsidTr="0063431A">
        <w:trPr>
          <w:trHeight w:val="82"/>
          <w:jc w:val="center"/>
        </w:trPr>
        <w:tc>
          <w:tcPr>
            <w:tcW w:w="746" w:type="pct"/>
            <w:tcBorders>
              <w:top w:val="nil"/>
              <w:left w:val="double" w:sz="4" w:space="0" w:color="auto"/>
              <w:bottom w:val="double" w:sz="4" w:space="0" w:color="auto"/>
            </w:tcBorders>
            <w:shd w:val="clear" w:color="auto" w:fill="auto"/>
            <w:noWrap/>
            <w:vAlign w:val="center"/>
          </w:tcPr>
          <w:p w:rsidR="0063431A" w:rsidRPr="0022296B" w:rsidRDefault="0063431A" w:rsidP="000962B0">
            <w:pPr>
              <w:jc w:val="center"/>
              <w:rPr>
                <w:rFonts w:ascii="Arial" w:hAnsi="Arial" w:cs="Arial"/>
                <w:sz w:val="20"/>
                <w:szCs w:val="20"/>
              </w:rPr>
            </w:pPr>
          </w:p>
        </w:tc>
        <w:tc>
          <w:tcPr>
            <w:tcW w:w="788" w:type="pct"/>
            <w:tcBorders>
              <w:top w:val="nil"/>
              <w:bottom w:val="double" w:sz="4" w:space="0" w:color="auto"/>
            </w:tcBorders>
            <w:shd w:val="clear" w:color="auto" w:fill="auto"/>
            <w:vAlign w:val="center"/>
          </w:tcPr>
          <w:p w:rsidR="0063431A" w:rsidRPr="0022296B" w:rsidRDefault="0063431A" w:rsidP="000962B0">
            <w:pPr>
              <w:jc w:val="center"/>
              <w:rPr>
                <w:rFonts w:ascii="Arial" w:hAnsi="Arial" w:cs="Arial"/>
                <w:b/>
                <w:sz w:val="20"/>
                <w:szCs w:val="20"/>
              </w:rPr>
            </w:pPr>
            <w:r w:rsidRPr="0022296B">
              <w:rPr>
                <w:rFonts w:ascii="Arial" w:hAnsi="Arial" w:cs="Arial"/>
                <w:b/>
                <w:sz w:val="20"/>
                <w:szCs w:val="20"/>
              </w:rPr>
              <w:t>fertilización</w:t>
            </w:r>
          </w:p>
        </w:tc>
        <w:tc>
          <w:tcPr>
            <w:tcW w:w="578" w:type="pct"/>
            <w:tcBorders>
              <w:top w:val="nil"/>
              <w:bottom w:val="double" w:sz="4" w:space="0" w:color="auto"/>
            </w:tcBorders>
            <w:shd w:val="clear" w:color="auto" w:fill="auto"/>
            <w:vAlign w:val="center"/>
          </w:tcPr>
          <w:p w:rsidR="0063431A" w:rsidRPr="0022296B" w:rsidRDefault="0063431A" w:rsidP="000962B0">
            <w:pPr>
              <w:jc w:val="center"/>
              <w:rPr>
                <w:rFonts w:ascii="Arial" w:hAnsi="Arial" w:cs="Arial"/>
                <w:b/>
                <w:bCs/>
                <w:sz w:val="20"/>
                <w:szCs w:val="20"/>
              </w:rPr>
            </w:pPr>
          </w:p>
        </w:tc>
        <w:tc>
          <w:tcPr>
            <w:tcW w:w="578" w:type="pct"/>
            <w:tcBorders>
              <w:top w:val="nil"/>
              <w:bottom w:val="double" w:sz="4" w:space="0" w:color="auto"/>
            </w:tcBorders>
            <w:shd w:val="clear" w:color="auto" w:fill="auto"/>
            <w:noWrap/>
            <w:vAlign w:val="center"/>
          </w:tcPr>
          <w:p w:rsidR="0063431A" w:rsidRPr="0022296B" w:rsidRDefault="0063431A" w:rsidP="000962B0">
            <w:pPr>
              <w:jc w:val="center"/>
              <w:rPr>
                <w:rFonts w:ascii="Arial" w:hAnsi="Arial" w:cs="Arial"/>
                <w:b/>
                <w:bCs/>
                <w:sz w:val="20"/>
                <w:szCs w:val="20"/>
              </w:rPr>
            </w:pPr>
          </w:p>
        </w:tc>
        <w:tc>
          <w:tcPr>
            <w:tcW w:w="578" w:type="pct"/>
            <w:tcBorders>
              <w:top w:val="nil"/>
              <w:bottom w:val="double" w:sz="4" w:space="0" w:color="auto"/>
            </w:tcBorders>
            <w:shd w:val="clear" w:color="auto" w:fill="auto"/>
            <w:noWrap/>
            <w:vAlign w:val="center"/>
          </w:tcPr>
          <w:p w:rsidR="0063431A" w:rsidRPr="0022296B" w:rsidRDefault="0063431A" w:rsidP="000962B0">
            <w:pPr>
              <w:jc w:val="center"/>
              <w:rPr>
                <w:rFonts w:ascii="Arial" w:hAnsi="Arial" w:cs="Arial"/>
                <w:b/>
                <w:bCs/>
                <w:sz w:val="20"/>
                <w:szCs w:val="20"/>
              </w:rPr>
            </w:pPr>
          </w:p>
        </w:tc>
        <w:tc>
          <w:tcPr>
            <w:tcW w:w="578" w:type="pct"/>
            <w:tcBorders>
              <w:top w:val="nil"/>
              <w:bottom w:val="double" w:sz="4" w:space="0" w:color="auto"/>
            </w:tcBorders>
            <w:shd w:val="clear" w:color="auto" w:fill="auto"/>
            <w:vAlign w:val="center"/>
          </w:tcPr>
          <w:p w:rsidR="0063431A" w:rsidRPr="0022296B" w:rsidRDefault="0063431A" w:rsidP="000962B0">
            <w:pPr>
              <w:jc w:val="center"/>
              <w:rPr>
                <w:rFonts w:ascii="Arial" w:hAnsi="Arial" w:cs="Arial"/>
                <w:b/>
                <w:bCs/>
                <w:sz w:val="20"/>
                <w:szCs w:val="20"/>
              </w:rPr>
            </w:pPr>
          </w:p>
        </w:tc>
        <w:tc>
          <w:tcPr>
            <w:tcW w:w="578" w:type="pct"/>
            <w:tcBorders>
              <w:top w:val="nil"/>
              <w:bottom w:val="double" w:sz="4" w:space="0" w:color="auto"/>
            </w:tcBorders>
            <w:shd w:val="clear" w:color="auto" w:fill="auto"/>
            <w:noWrap/>
            <w:vAlign w:val="center"/>
          </w:tcPr>
          <w:p w:rsidR="0063431A" w:rsidRPr="0022296B" w:rsidRDefault="0063431A" w:rsidP="000962B0">
            <w:pPr>
              <w:jc w:val="center"/>
              <w:rPr>
                <w:rFonts w:ascii="Arial" w:hAnsi="Arial" w:cs="Arial"/>
                <w:b/>
                <w:bCs/>
                <w:sz w:val="20"/>
                <w:szCs w:val="20"/>
              </w:rPr>
            </w:pPr>
          </w:p>
        </w:tc>
        <w:tc>
          <w:tcPr>
            <w:tcW w:w="576" w:type="pct"/>
            <w:tcBorders>
              <w:top w:val="nil"/>
              <w:bottom w:val="double" w:sz="4" w:space="0" w:color="auto"/>
              <w:right w:val="double" w:sz="4" w:space="0" w:color="auto"/>
            </w:tcBorders>
            <w:shd w:val="clear" w:color="auto" w:fill="auto"/>
            <w:noWrap/>
            <w:vAlign w:val="center"/>
          </w:tcPr>
          <w:p w:rsidR="0063431A" w:rsidRPr="0022296B" w:rsidRDefault="0063431A" w:rsidP="000962B0">
            <w:pPr>
              <w:jc w:val="center"/>
              <w:rPr>
                <w:rFonts w:ascii="Arial" w:hAnsi="Arial" w:cs="Arial"/>
                <w:b/>
                <w:bCs/>
                <w:sz w:val="20"/>
                <w:szCs w:val="20"/>
              </w:rPr>
            </w:pPr>
          </w:p>
        </w:tc>
      </w:tr>
      <w:tr w:rsidR="009D3AC5" w:rsidRPr="0022296B" w:rsidTr="009D3AC5">
        <w:trPr>
          <w:trHeight w:val="255"/>
          <w:jc w:val="center"/>
        </w:trPr>
        <w:tc>
          <w:tcPr>
            <w:tcW w:w="746" w:type="pct"/>
            <w:tcBorders>
              <w:top w:val="double" w:sz="4" w:space="0" w:color="auto"/>
              <w:left w:val="double" w:sz="4" w:space="0" w:color="auto"/>
            </w:tcBorders>
            <w:shd w:val="clear" w:color="auto" w:fill="auto"/>
            <w:noWrap/>
            <w:vAlign w:val="center"/>
          </w:tcPr>
          <w:p w:rsidR="009D3AC5" w:rsidRPr="0022296B" w:rsidRDefault="009D3AC5" w:rsidP="000962B0">
            <w:pPr>
              <w:jc w:val="center"/>
              <w:rPr>
                <w:rFonts w:ascii="Arial" w:hAnsi="Arial" w:cs="Arial"/>
                <w:b/>
                <w:sz w:val="20"/>
                <w:szCs w:val="20"/>
              </w:rPr>
            </w:pPr>
            <w:r w:rsidRPr="0022296B">
              <w:rPr>
                <w:rFonts w:ascii="Arial" w:hAnsi="Arial" w:cs="Arial"/>
                <w:b/>
                <w:sz w:val="20"/>
                <w:szCs w:val="20"/>
              </w:rPr>
              <w:t>T1</w:t>
            </w:r>
          </w:p>
        </w:tc>
        <w:tc>
          <w:tcPr>
            <w:tcW w:w="788" w:type="pct"/>
            <w:tcBorders>
              <w:top w:val="double" w:sz="4" w:space="0" w:color="auto"/>
            </w:tcBorders>
            <w:shd w:val="clear" w:color="auto" w:fill="auto"/>
            <w:vAlign w:val="center"/>
          </w:tcPr>
          <w:p w:rsidR="009D3AC5" w:rsidRPr="009D3AC5" w:rsidRDefault="009D3AC5" w:rsidP="009D3AC5">
            <w:pPr>
              <w:jc w:val="center"/>
              <w:rPr>
                <w:rFonts w:asciiTheme="minorHAnsi" w:hAnsiTheme="minorHAnsi" w:cs="Arial"/>
                <w:sz w:val="18"/>
                <w:szCs w:val="20"/>
              </w:rPr>
            </w:pPr>
            <w:r w:rsidRPr="009D3AC5">
              <w:rPr>
                <w:rFonts w:asciiTheme="minorHAnsi" w:hAnsiTheme="minorHAnsi" w:cs="Arial"/>
                <w:sz w:val="18"/>
                <w:szCs w:val="20"/>
              </w:rPr>
              <w:t>Testigo sin fertilización</w:t>
            </w:r>
          </w:p>
        </w:tc>
        <w:tc>
          <w:tcPr>
            <w:tcW w:w="578" w:type="pct"/>
            <w:tcBorders>
              <w:top w:val="double" w:sz="4" w:space="0" w:color="auto"/>
            </w:tcBorders>
            <w:shd w:val="clear" w:color="auto" w:fill="auto"/>
            <w:vAlign w:val="center"/>
          </w:tcPr>
          <w:p w:rsidR="009D3AC5" w:rsidRPr="009D3AC5" w:rsidRDefault="009D3AC5" w:rsidP="009D3AC5">
            <w:pPr>
              <w:jc w:val="center"/>
              <w:rPr>
                <w:rFonts w:asciiTheme="minorHAnsi" w:hAnsiTheme="minorHAnsi" w:cs="Arial"/>
                <w:sz w:val="20"/>
                <w:szCs w:val="20"/>
              </w:rPr>
            </w:pPr>
            <w:r w:rsidRPr="009D3AC5">
              <w:rPr>
                <w:rFonts w:asciiTheme="minorHAnsi" w:hAnsiTheme="minorHAnsi" w:cs="Arial"/>
                <w:sz w:val="20"/>
                <w:szCs w:val="20"/>
              </w:rPr>
              <w:t>0</w:t>
            </w:r>
          </w:p>
        </w:tc>
        <w:tc>
          <w:tcPr>
            <w:tcW w:w="578" w:type="pct"/>
            <w:tcBorders>
              <w:top w:val="double" w:sz="4" w:space="0" w:color="auto"/>
            </w:tcBorders>
            <w:shd w:val="clear" w:color="auto" w:fill="auto"/>
            <w:noWrap/>
            <w:vAlign w:val="center"/>
          </w:tcPr>
          <w:p w:rsidR="009D3AC5" w:rsidRPr="009D3AC5" w:rsidRDefault="009D3AC5" w:rsidP="009D3AC5">
            <w:pPr>
              <w:jc w:val="center"/>
              <w:rPr>
                <w:rFonts w:asciiTheme="minorHAnsi" w:hAnsiTheme="minorHAnsi" w:cs="Arial"/>
                <w:sz w:val="20"/>
                <w:szCs w:val="20"/>
              </w:rPr>
            </w:pPr>
            <w:r w:rsidRPr="009D3AC5">
              <w:rPr>
                <w:rFonts w:asciiTheme="minorHAnsi" w:hAnsiTheme="minorHAnsi" w:cs="Arial"/>
                <w:sz w:val="20"/>
                <w:szCs w:val="20"/>
              </w:rPr>
              <w:t>0</w:t>
            </w:r>
          </w:p>
        </w:tc>
        <w:tc>
          <w:tcPr>
            <w:tcW w:w="578" w:type="pct"/>
            <w:tcBorders>
              <w:top w:val="double" w:sz="4" w:space="0" w:color="auto"/>
            </w:tcBorders>
            <w:shd w:val="clear" w:color="auto" w:fill="auto"/>
            <w:vAlign w:val="center"/>
          </w:tcPr>
          <w:p w:rsidR="009D3AC5" w:rsidRPr="009D3AC5" w:rsidRDefault="009D3AC5" w:rsidP="000962B0">
            <w:pPr>
              <w:jc w:val="center"/>
              <w:rPr>
                <w:rFonts w:asciiTheme="minorHAnsi" w:hAnsiTheme="minorHAnsi" w:cs="Arial"/>
                <w:sz w:val="20"/>
                <w:szCs w:val="20"/>
              </w:rPr>
            </w:pPr>
            <w:r w:rsidRPr="009D3AC5">
              <w:rPr>
                <w:rFonts w:asciiTheme="minorHAnsi" w:hAnsiTheme="minorHAnsi" w:cs="Arial"/>
                <w:sz w:val="20"/>
                <w:szCs w:val="20"/>
              </w:rPr>
              <w:t>0</w:t>
            </w:r>
          </w:p>
        </w:tc>
        <w:tc>
          <w:tcPr>
            <w:tcW w:w="578" w:type="pct"/>
            <w:tcBorders>
              <w:top w:val="double" w:sz="4" w:space="0" w:color="auto"/>
            </w:tcBorders>
            <w:shd w:val="clear" w:color="auto" w:fill="auto"/>
            <w:vAlign w:val="center"/>
          </w:tcPr>
          <w:p w:rsidR="009D3AC5" w:rsidRPr="009D3AC5" w:rsidRDefault="009D3AC5" w:rsidP="000962B0">
            <w:pPr>
              <w:jc w:val="center"/>
              <w:rPr>
                <w:rFonts w:asciiTheme="minorHAnsi" w:hAnsiTheme="minorHAnsi" w:cs="Arial"/>
                <w:sz w:val="20"/>
                <w:szCs w:val="20"/>
              </w:rPr>
            </w:pPr>
            <w:r w:rsidRPr="009D3AC5">
              <w:rPr>
                <w:rFonts w:asciiTheme="minorHAnsi" w:hAnsiTheme="minorHAnsi" w:cs="Arial"/>
                <w:sz w:val="20"/>
                <w:szCs w:val="20"/>
              </w:rPr>
              <w:t>0</w:t>
            </w:r>
          </w:p>
        </w:tc>
        <w:tc>
          <w:tcPr>
            <w:tcW w:w="578" w:type="pct"/>
            <w:tcBorders>
              <w:top w:val="double" w:sz="4" w:space="0" w:color="auto"/>
            </w:tcBorders>
            <w:shd w:val="clear" w:color="auto" w:fill="auto"/>
            <w:noWrap/>
            <w:vAlign w:val="center"/>
          </w:tcPr>
          <w:p w:rsidR="009D3AC5" w:rsidRPr="009D3AC5" w:rsidRDefault="009D3AC5" w:rsidP="000962B0">
            <w:pPr>
              <w:jc w:val="center"/>
              <w:rPr>
                <w:rFonts w:asciiTheme="minorHAnsi" w:hAnsiTheme="minorHAnsi" w:cs="Arial"/>
                <w:sz w:val="20"/>
                <w:szCs w:val="20"/>
              </w:rPr>
            </w:pPr>
            <w:r w:rsidRPr="009D3AC5">
              <w:rPr>
                <w:rFonts w:asciiTheme="minorHAnsi" w:hAnsiTheme="minorHAnsi" w:cs="Arial"/>
                <w:sz w:val="20"/>
                <w:szCs w:val="20"/>
              </w:rPr>
              <w:t>0</w:t>
            </w:r>
          </w:p>
        </w:tc>
        <w:tc>
          <w:tcPr>
            <w:tcW w:w="576" w:type="pct"/>
            <w:tcBorders>
              <w:top w:val="double" w:sz="4" w:space="0" w:color="auto"/>
              <w:right w:val="double" w:sz="4" w:space="0" w:color="auto"/>
            </w:tcBorders>
            <w:shd w:val="clear" w:color="auto" w:fill="auto"/>
            <w:noWrap/>
            <w:vAlign w:val="center"/>
          </w:tcPr>
          <w:p w:rsidR="009D3AC5" w:rsidRPr="009D3AC5" w:rsidRDefault="009D3AC5" w:rsidP="000962B0">
            <w:pPr>
              <w:jc w:val="center"/>
              <w:rPr>
                <w:rFonts w:asciiTheme="minorHAnsi" w:hAnsiTheme="minorHAnsi" w:cs="Arial"/>
                <w:sz w:val="20"/>
                <w:szCs w:val="20"/>
              </w:rPr>
            </w:pPr>
            <w:r w:rsidRPr="009D3AC5">
              <w:rPr>
                <w:rFonts w:asciiTheme="minorHAnsi" w:hAnsiTheme="minorHAnsi" w:cs="Arial"/>
                <w:sz w:val="20"/>
                <w:szCs w:val="20"/>
              </w:rPr>
              <w:t>0</w:t>
            </w:r>
          </w:p>
        </w:tc>
      </w:tr>
      <w:tr w:rsidR="009D3AC5" w:rsidRPr="0022296B" w:rsidTr="009D3AC5">
        <w:trPr>
          <w:trHeight w:val="255"/>
          <w:jc w:val="center"/>
        </w:trPr>
        <w:tc>
          <w:tcPr>
            <w:tcW w:w="746" w:type="pct"/>
            <w:tcBorders>
              <w:left w:val="double" w:sz="4" w:space="0" w:color="auto"/>
            </w:tcBorders>
            <w:shd w:val="clear" w:color="auto" w:fill="auto"/>
            <w:noWrap/>
            <w:vAlign w:val="center"/>
          </w:tcPr>
          <w:p w:rsidR="009D3AC5" w:rsidRPr="0022296B" w:rsidRDefault="009D3AC5" w:rsidP="000962B0">
            <w:pPr>
              <w:jc w:val="center"/>
              <w:rPr>
                <w:rFonts w:ascii="Arial" w:hAnsi="Arial" w:cs="Arial"/>
                <w:b/>
                <w:sz w:val="20"/>
                <w:szCs w:val="20"/>
              </w:rPr>
            </w:pPr>
            <w:r w:rsidRPr="0022296B">
              <w:rPr>
                <w:rFonts w:ascii="Arial" w:hAnsi="Arial" w:cs="Arial"/>
                <w:b/>
                <w:sz w:val="20"/>
                <w:szCs w:val="20"/>
              </w:rPr>
              <w:t>T2</w:t>
            </w:r>
          </w:p>
        </w:tc>
        <w:tc>
          <w:tcPr>
            <w:tcW w:w="788" w:type="pct"/>
            <w:shd w:val="clear" w:color="auto" w:fill="auto"/>
            <w:vAlign w:val="center"/>
          </w:tcPr>
          <w:p w:rsidR="009D3AC5" w:rsidRPr="009D3AC5" w:rsidRDefault="009D3AC5" w:rsidP="009D3AC5">
            <w:pPr>
              <w:jc w:val="center"/>
              <w:rPr>
                <w:rFonts w:asciiTheme="minorHAnsi" w:hAnsiTheme="minorHAnsi" w:cs="Arial"/>
                <w:sz w:val="18"/>
                <w:szCs w:val="20"/>
              </w:rPr>
            </w:pPr>
            <w:r w:rsidRPr="009D3AC5">
              <w:rPr>
                <w:rFonts w:asciiTheme="minorHAnsi" w:hAnsiTheme="minorHAnsi" w:cs="Arial"/>
                <w:sz w:val="18"/>
                <w:szCs w:val="20"/>
              </w:rPr>
              <w:t>Tecnología Uso Actual</w:t>
            </w:r>
          </w:p>
        </w:tc>
        <w:tc>
          <w:tcPr>
            <w:tcW w:w="578" w:type="pct"/>
            <w:shd w:val="clear" w:color="auto" w:fill="auto"/>
            <w:vAlign w:val="center"/>
          </w:tcPr>
          <w:p w:rsidR="009D3AC5" w:rsidRPr="009D3AC5" w:rsidRDefault="009D3AC5" w:rsidP="009D3AC5">
            <w:pPr>
              <w:jc w:val="center"/>
              <w:rPr>
                <w:rFonts w:asciiTheme="minorHAnsi" w:hAnsiTheme="minorHAnsi" w:cs="Arial"/>
                <w:sz w:val="20"/>
                <w:szCs w:val="20"/>
              </w:rPr>
            </w:pPr>
            <w:r w:rsidRPr="009D3AC5">
              <w:rPr>
                <w:rFonts w:asciiTheme="minorHAnsi" w:hAnsiTheme="minorHAnsi" w:cs="Arial"/>
                <w:sz w:val="20"/>
                <w:szCs w:val="20"/>
              </w:rPr>
              <w:t>16</w:t>
            </w:r>
          </w:p>
        </w:tc>
        <w:tc>
          <w:tcPr>
            <w:tcW w:w="578" w:type="pct"/>
            <w:shd w:val="clear" w:color="auto" w:fill="auto"/>
            <w:noWrap/>
            <w:vAlign w:val="center"/>
          </w:tcPr>
          <w:p w:rsidR="009D3AC5" w:rsidRPr="009D3AC5" w:rsidRDefault="009D3AC5" w:rsidP="009D3AC5">
            <w:pPr>
              <w:jc w:val="center"/>
              <w:rPr>
                <w:rFonts w:asciiTheme="minorHAnsi" w:hAnsiTheme="minorHAnsi" w:cs="Arial"/>
                <w:sz w:val="20"/>
                <w:szCs w:val="20"/>
              </w:rPr>
            </w:pPr>
            <w:r w:rsidRPr="009D3AC5">
              <w:rPr>
                <w:rFonts w:asciiTheme="minorHAnsi" w:hAnsiTheme="minorHAnsi" w:cs="Arial"/>
                <w:sz w:val="20"/>
                <w:szCs w:val="20"/>
              </w:rPr>
              <w:t>16</w:t>
            </w:r>
          </w:p>
        </w:tc>
        <w:tc>
          <w:tcPr>
            <w:tcW w:w="578" w:type="pct"/>
            <w:shd w:val="clear" w:color="auto" w:fill="auto"/>
            <w:noWrap/>
            <w:vAlign w:val="center"/>
          </w:tcPr>
          <w:p w:rsidR="009D3AC5" w:rsidRPr="009D3AC5" w:rsidRDefault="009D3AC5" w:rsidP="000962B0">
            <w:pPr>
              <w:jc w:val="center"/>
              <w:rPr>
                <w:rFonts w:asciiTheme="minorHAnsi" w:hAnsiTheme="minorHAnsi" w:cs="Arial"/>
                <w:sz w:val="20"/>
                <w:szCs w:val="20"/>
              </w:rPr>
            </w:pPr>
            <w:r>
              <w:rPr>
                <w:rFonts w:asciiTheme="minorHAnsi" w:hAnsiTheme="minorHAnsi" w:cs="Arial"/>
                <w:sz w:val="20"/>
                <w:szCs w:val="20"/>
              </w:rPr>
              <w:t>16</w:t>
            </w:r>
          </w:p>
        </w:tc>
        <w:tc>
          <w:tcPr>
            <w:tcW w:w="578" w:type="pct"/>
            <w:shd w:val="clear" w:color="auto" w:fill="auto"/>
            <w:vAlign w:val="center"/>
          </w:tcPr>
          <w:p w:rsidR="009D3AC5" w:rsidRPr="009D3AC5" w:rsidRDefault="009D3AC5" w:rsidP="000962B0">
            <w:pPr>
              <w:jc w:val="center"/>
              <w:rPr>
                <w:rFonts w:asciiTheme="minorHAnsi" w:hAnsiTheme="minorHAnsi" w:cs="Arial"/>
                <w:sz w:val="20"/>
                <w:szCs w:val="20"/>
              </w:rPr>
            </w:pPr>
            <w:r w:rsidRPr="009D3AC5">
              <w:rPr>
                <w:rFonts w:asciiTheme="minorHAnsi" w:hAnsiTheme="minorHAnsi" w:cs="Arial"/>
                <w:sz w:val="20"/>
                <w:szCs w:val="20"/>
              </w:rPr>
              <w:t>0</w:t>
            </w:r>
          </w:p>
        </w:tc>
        <w:tc>
          <w:tcPr>
            <w:tcW w:w="578" w:type="pct"/>
            <w:shd w:val="clear" w:color="auto" w:fill="auto"/>
            <w:noWrap/>
            <w:vAlign w:val="center"/>
          </w:tcPr>
          <w:p w:rsidR="009D3AC5" w:rsidRPr="009D3AC5" w:rsidRDefault="009D3AC5" w:rsidP="000962B0">
            <w:pPr>
              <w:jc w:val="center"/>
              <w:rPr>
                <w:rFonts w:asciiTheme="minorHAnsi" w:hAnsiTheme="minorHAnsi" w:cs="Arial"/>
                <w:sz w:val="20"/>
                <w:szCs w:val="20"/>
              </w:rPr>
            </w:pPr>
            <w:r>
              <w:rPr>
                <w:rFonts w:asciiTheme="minorHAnsi" w:hAnsiTheme="minorHAnsi" w:cs="Arial"/>
                <w:sz w:val="20"/>
                <w:szCs w:val="20"/>
              </w:rPr>
              <w:t>16</w:t>
            </w:r>
          </w:p>
        </w:tc>
        <w:tc>
          <w:tcPr>
            <w:tcW w:w="576" w:type="pct"/>
            <w:tcBorders>
              <w:right w:val="double" w:sz="4" w:space="0" w:color="auto"/>
            </w:tcBorders>
            <w:shd w:val="clear" w:color="auto" w:fill="auto"/>
            <w:noWrap/>
            <w:vAlign w:val="center"/>
          </w:tcPr>
          <w:p w:rsidR="009D3AC5" w:rsidRPr="009D3AC5" w:rsidRDefault="009D3AC5" w:rsidP="000962B0">
            <w:pPr>
              <w:jc w:val="center"/>
              <w:rPr>
                <w:rFonts w:asciiTheme="minorHAnsi" w:hAnsiTheme="minorHAnsi" w:cs="Arial"/>
                <w:sz w:val="20"/>
                <w:szCs w:val="20"/>
              </w:rPr>
            </w:pPr>
            <w:r w:rsidRPr="009D3AC5">
              <w:rPr>
                <w:rFonts w:asciiTheme="minorHAnsi" w:hAnsiTheme="minorHAnsi" w:cs="Arial"/>
                <w:sz w:val="20"/>
                <w:szCs w:val="20"/>
              </w:rPr>
              <w:t>0</w:t>
            </w:r>
          </w:p>
        </w:tc>
      </w:tr>
      <w:tr w:rsidR="009D3AC5" w:rsidRPr="0022296B" w:rsidTr="009D3AC5">
        <w:trPr>
          <w:trHeight w:val="255"/>
          <w:jc w:val="center"/>
        </w:trPr>
        <w:tc>
          <w:tcPr>
            <w:tcW w:w="746" w:type="pct"/>
            <w:tcBorders>
              <w:left w:val="double" w:sz="4" w:space="0" w:color="auto"/>
            </w:tcBorders>
            <w:shd w:val="clear" w:color="auto" w:fill="auto"/>
            <w:noWrap/>
            <w:vAlign w:val="center"/>
          </w:tcPr>
          <w:p w:rsidR="009D3AC5" w:rsidRPr="0022296B" w:rsidRDefault="009D3AC5" w:rsidP="000962B0">
            <w:pPr>
              <w:jc w:val="center"/>
              <w:rPr>
                <w:rFonts w:ascii="Arial" w:hAnsi="Arial" w:cs="Arial"/>
                <w:b/>
                <w:sz w:val="20"/>
                <w:szCs w:val="20"/>
              </w:rPr>
            </w:pPr>
            <w:r w:rsidRPr="0022296B">
              <w:rPr>
                <w:rFonts w:ascii="Arial" w:hAnsi="Arial" w:cs="Arial"/>
                <w:b/>
                <w:sz w:val="20"/>
                <w:szCs w:val="20"/>
              </w:rPr>
              <w:t>T3</w:t>
            </w:r>
          </w:p>
        </w:tc>
        <w:tc>
          <w:tcPr>
            <w:tcW w:w="788" w:type="pct"/>
            <w:shd w:val="clear" w:color="auto" w:fill="auto"/>
            <w:vAlign w:val="center"/>
          </w:tcPr>
          <w:p w:rsidR="009D3AC5" w:rsidRPr="009D3AC5" w:rsidRDefault="009D3AC5" w:rsidP="009D3AC5">
            <w:pPr>
              <w:jc w:val="center"/>
              <w:rPr>
                <w:rFonts w:asciiTheme="minorHAnsi" w:hAnsiTheme="minorHAnsi" w:cs="Arial"/>
                <w:sz w:val="18"/>
                <w:szCs w:val="20"/>
              </w:rPr>
            </w:pPr>
            <w:r w:rsidRPr="009D3AC5">
              <w:rPr>
                <w:rFonts w:asciiTheme="minorHAnsi" w:hAnsiTheme="minorHAnsi" w:cs="Arial"/>
                <w:sz w:val="18"/>
                <w:szCs w:val="20"/>
              </w:rPr>
              <w:t>Reposición PS Rendimiento objetivo medio</w:t>
            </w:r>
          </w:p>
        </w:tc>
        <w:tc>
          <w:tcPr>
            <w:tcW w:w="578" w:type="pct"/>
            <w:shd w:val="clear" w:color="auto" w:fill="auto"/>
            <w:vAlign w:val="center"/>
          </w:tcPr>
          <w:p w:rsidR="009D3AC5" w:rsidRPr="009D3AC5" w:rsidRDefault="009D3AC5" w:rsidP="009D3AC5">
            <w:pPr>
              <w:jc w:val="center"/>
              <w:rPr>
                <w:rFonts w:asciiTheme="minorHAnsi" w:hAnsiTheme="minorHAnsi" w:cs="Arial"/>
                <w:sz w:val="20"/>
                <w:szCs w:val="20"/>
              </w:rPr>
            </w:pPr>
            <w:r w:rsidRPr="009D3AC5">
              <w:rPr>
                <w:rFonts w:asciiTheme="minorHAnsi" w:hAnsiTheme="minorHAnsi" w:cs="Arial"/>
                <w:sz w:val="20"/>
                <w:szCs w:val="20"/>
              </w:rPr>
              <w:t>30</w:t>
            </w:r>
          </w:p>
        </w:tc>
        <w:tc>
          <w:tcPr>
            <w:tcW w:w="578" w:type="pct"/>
            <w:shd w:val="clear" w:color="auto" w:fill="auto"/>
            <w:noWrap/>
            <w:vAlign w:val="center"/>
          </w:tcPr>
          <w:p w:rsidR="009D3AC5" w:rsidRPr="009D3AC5" w:rsidRDefault="009D3AC5" w:rsidP="009D3AC5">
            <w:pPr>
              <w:jc w:val="center"/>
              <w:rPr>
                <w:rFonts w:asciiTheme="minorHAnsi" w:hAnsiTheme="minorHAnsi" w:cs="Arial"/>
                <w:sz w:val="20"/>
                <w:szCs w:val="20"/>
              </w:rPr>
            </w:pPr>
            <w:r w:rsidRPr="009D3AC5">
              <w:rPr>
                <w:rFonts w:asciiTheme="minorHAnsi" w:hAnsiTheme="minorHAnsi" w:cs="Arial"/>
                <w:sz w:val="20"/>
                <w:szCs w:val="20"/>
              </w:rPr>
              <w:t>22</w:t>
            </w:r>
          </w:p>
        </w:tc>
        <w:tc>
          <w:tcPr>
            <w:tcW w:w="578" w:type="pct"/>
            <w:shd w:val="clear" w:color="auto" w:fill="auto"/>
            <w:noWrap/>
            <w:vAlign w:val="center"/>
          </w:tcPr>
          <w:p w:rsidR="009D3AC5" w:rsidRPr="009D3AC5" w:rsidRDefault="009D3AC5" w:rsidP="000962B0">
            <w:pPr>
              <w:jc w:val="center"/>
              <w:rPr>
                <w:rFonts w:asciiTheme="minorHAnsi" w:hAnsiTheme="minorHAnsi" w:cs="Arial"/>
                <w:sz w:val="20"/>
                <w:szCs w:val="20"/>
              </w:rPr>
            </w:pPr>
            <w:r>
              <w:rPr>
                <w:rFonts w:asciiTheme="minorHAnsi" w:hAnsiTheme="minorHAnsi" w:cs="Arial"/>
                <w:sz w:val="20"/>
                <w:szCs w:val="20"/>
              </w:rPr>
              <w:t>16</w:t>
            </w:r>
          </w:p>
        </w:tc>
        <w:tc>
          <w:tcPr>
            <w:tcW w:w="578" w:type="pct"/>
            <w:shd w:val="clear" w:color="auto" w:fill="auto"/>
            <w:vAlign w:val="center"/>
          </w:tcPr>
          <w:p w:rsidR="009D3AC5" w:rsidRPr="009D3AC5" w:rsidRDefault="009D3AC5" w:rsidP="000962B0">
            <w:pPr>
              <w:jc w:val="center"/>
              <w:rPr>
                <w:rFonts w:asciiTheme="minorHAnsi" w:hAnsiTheme="minorHAnsi" w:cs="Arial"/>
                <w:sz w:val="20"/>
                <w:szCs w:val="20"/>
              </w:rPr>
            </w:pPr>
            <w:r w:rsidRPr="009D3AC5">
              <w:rPr>
                <w:rFonts w:asciiTheme="minorHAnsi" w:hAnsiTheme="minorHAnsi" w:cs="Arial"/>
                <w:sz w:val="20"/>
                <w:szCs w:val="20"/>
              </w:rPr>
              <w:t>15</w:t>
            </w:r>
          </w:p>
        </w:tc>
        <w:tc>
          <w:tcPr>
            <w:tcW w:w="578" w:type="pct"/>
            <w:shd w:val="clear" w:color="auto" w:fill="auto"/>
            <w:noWrap/>
            <w:vAlign w:val="center"/>
          </w:tcPr>
          <w:p w:rsidR="009D3AC5" w:rsidRPr="009D3AC5" w:rsidRDefault="009D3AC5" w:rsidP="000962B0">
            <w:pPr>
              <w:jc w:val="center"/>
              <w:rPr>
                <w:rFonts w:asciiTheme="minorHAnsi" w:hAnsiTheme="minorHAnsi" w:cs="Arial"/>
                <w:sz w:val="20"/>
                <w:szCs w:val="20"/>
              </w:rPr>
            </w:pPr>
            <w:r>
              <w:rPr>
                <w:rFonts w:asciiTheme="minorHAnsi" w:hAnsiTheme="minorHAnsi" w:cs="Arial"/>
                <w:sz w:val="20"/>
                <w:szCs w:val="20"/>
              </w:rPr>
              <w:t>16</w:t>
            </w:r>
          </w:p>
        </w:tc>
        <w:tc>
          <w:tcPr>
            <w:tcW w:w="576" w:type="pct"/>
            <w:tcBorders>
              <w:right w:val="double" w:sz="4" w:space="0" w:color="auto"/>
            </w:tcBorders>
            <w:shd w:val="clear" w:color="auto" w:fill="auto"/>
            <w:noWrap/>
            <w:vAlign w:val="center"/>
          </w:tcPr>
          <w:p w:rsidR="009D3AC5" w:rsidRPr="009D3AC5" w:rsidRDefault="009D3AC5" w:rsidP="000962B0">
            <w:pPr>
              <w:jc w:val="center"/>
              <w:rPr>
                <w:rFonts w:asciiTheme="minorHAnsi" w:hAnsiTheme="minorHAnsi" w:cs="Arial"/>
                <w:sz w:val="20"/>
                <w:szCs w:val="20"/>
              </w:rPr>
            </w:pPr>
            <w:r w:rsidRPr="009D3AC5">
              <w:rPr>
                <w:rFonts w:asciiTheme="minorHAnsi" w:hAnsiTheme="minorHAnsi" w:cs="Arial"/>
                <w:sz w:val="20"/>
                <w:szCs w:val="20"/>
              </w:rPr>
              <w:t>15</w:t>
            </w:r>
          </w:p>
        </w:tc>
      </w:tr>
      <w:tr w:rsidR="009D3AC5" w:rsidRPr="0022296B" w:rsidTr="009D3AC5">
        <w:trPr>
          <w:trHeight w:val="255"/>
          <w:jc w:val="center"/>
        </w:trPr>
        <w:tc>
          <w:tcPr>
            <w:tcW w:w="746" w:type="pct"/>
            <w:tcBorders>
              <w:left w:val="double" w:sz="4" w:space="0" w:color="auto"/>
            </w:tcBorders>
            <w:shd w:val="clear" w:color="auto" w:fill="auto"/>
            <w:noWrap/>
            <w:vAlign w:val="center"/>
          </w:tcPr>
          <w:p w:rsidR="009D3AC5" w:rsidRPr="0022296B" w:rsidRDefault="009D3AC5" w:rsidP="000962B0">
            <w:pPr>
              <w:jc w:val="center"/>
              <w:rPr>
                <w:rFonts w:ascii="Arial" w:hAnsi="Arial" w:cs="Arial"/>
                <w:b/>
                <w:sz w:val="20"/>
                <w:szCs w:val="20"/>
              </w:rPr>
            </w:pPr>
            <w:r w:rsidRPr="0022296B">
              <w:rPr>
                <w:rFonts w:ascii="Arial" w:hAnsi="Arial" w:cs="Arial"/>
                <w:b/>
                <w:sz w:val="20"/>
                <w:szCs w:val="20"/>
              </w:rPr>
              <w:t>T4</w:t>
            </w:r>
          </w:p>
        </w:tc>
        <w:tc>
          <w:tcPr>
            <w:tcW w:w="788" w:type="pct"/>
            <w:shd w:val="clear" w:color="auto" w:fill="auto"/>
            <w:vAlign w:val="center"/>
          </w:tcPr>
          <w:p w:rsidR="009D3AC5" w:rsidRPr="009D3AC5" w:rsidRDefault="009D3AC5" w:rsidP="009D3AC5">
            <w:pPr>
              <w:jc w:val="center"/>
              <w:rPr>
                <w:rFonts w:asciiTheme="minorHAnsi" w:hAnsiTheme="minorHAnsi" w:cs="Arial"/>
                <w:sz w:val="18"/>
                <w:szCs w:val="20"/>
              </w:rPr>
            </w:pPr>
            <w:r w:rsidRPr="009D3AC5">
              <w:rPr>
                <w:rFonts w:asciiTheme="minorHAnsi" w:hAnsiTheme="minorHAnsi" w:cs="Arial"/>
                <w:sz w:val="18"/>
                <w:szCs w:val="20"/>
              </w:rPr>
              <w:t>Reposición PS Rendimiento objetivo alto</w:t>
            </w:r>
          </w:p>
        </w:tc>
        <w:tc>
          <w:tcPr>
            <w:tcW w:w="578" w:type="pct"/>
            <w:shd w:val="clear" w:color="auto" w:fill="auto"/>
            <w:vAlign w:val="center"/>
          </w:tcPr>
          <w:p w:rsidR="009D3AC5" w:rsidRPr="009D3AC5" w:rsidRDefault="009D3AC5" w:rsidP="009D3AC5">
            <w:pPr>
              <w:jc w:val="center"/>
              <w:rPr>
                <w:rFonts w:asciiTheme="minorHAnsi" w:hAnsiTheme="minorHAnsi" w:cs="Arial"/>
                <w:sz w:val="20"/>
                <w:szCs w:val="20"/>
              </w:rPr>
            </w:pPr>
            <w:r w:rsidRPr="009D3AC5">
              <w:rPr>
                <w:rFonts w:asciiTheme="minorHAnsi" w:hAnsiTheme="minorHAnsi" w:cs="Arial"/>
                <w:sz w:val="20"/>
                <w:szCs w:val="20"/>
              </w:rPr>
              <w:t>30</w:t>
            </w:r>
          </w:p>
        </w:tc>
        <w:tc>
          <w:tcPr>
            <w:tcW w:w="578" w:type="pct"/>
            <w:shd w:val="clear" w:color="auto" w:fill="auto"/>
            <w:noWrap/>
            <w:vAlign w:val="center"/>
          </w:tcPr>
          <w:p w:rsidR="009D3AC5" w:rsidRPr="009D3AC5" w:rsidRDefault="009D3AC5" w:rsidP="009D3AC5">
            <w:pPr>
              <w:jc w:val="center"/>
              <w:rPr>
                <w:rFonts w:asciiTheme="minorHAnsi" w:hAnsiTheme="minorHAnsi" w:cs="Arial"/>
                <w:sz w:val="20"/>
                <w:szCs w:val="20"/>
              </w:rPr>
            </w:pPr>
            <w:r w:rsidRPr="009D3AC5">
              <w:rPr>
                <w:rFonts w:asciiTheme="minorHAnsi" w:hAnsiTheme="minorHAnsi" w:cs="Arial"/>
                <w:sz w:val="20"/>
                <w:szCs w:val="20"/>
              </w:rPr>
              <w:t>26</w:t>
            </w:r>
          </w:p>
        </w:tc>
        <w:tc>
          <w:tcPr>
            <w:tcW w:w="578" w:type="pct"/>
            <w:shd w:val="clear" w:color="auto" w:fill="auto"/>
            <w:noWrap/>
            <w:vAlign w:val="center"/>
          </w:tcPr>
          <w:p w:rsidR="009D3AC5" w:rsidRPr="009D3AC5" w:rsidRDefault="009D3AC5" w:rsidP="000962B0">
            <w:pPr>
              <w:jc w:val="center"/>
              <w:rPr>
                <w:rFonts w:asciiTheme="minorHAnsi" w:hAnsiTheme="minorHAnsi" w:cs="Arial"/>
                <w:sz w:val="20"/>
                <w:szCs w:val="20"/>
              </w:rPr>
            </w:pPr>
            <w:r>
              <w:rPr>
                <w:rFonts w:asciiTheme="minorHAnsi" w:hAnsiTheme="minorHAnsi" w:cs="Arial"/>
                <w:sz w:val="20"/>
                <w:szCs w:val="20"/>
              </w:rPr>
              <w:t>20</w:t>
            </w:r>
          </w:p>
        </w:tc>
        <w:tc>
          <w:tcPr>
            <w:tcW w:w="578" w:type="pct"/>
            <w:shd w:val="clear" w:color="auto" w:fill="auto"/>
            <w:vAlign w:val="center"/>
          </w:tcPr>
          <w:p w:rsidR="009D3AC5" w:rsidRPr="009D3AC5" w:rsidRDefault="009D3AC5" w:rsidP="000962B0">
            <w:pPr>
              <w:jc w:val="center"/>
              <w:rPr>
                <w:rFonts w:asciiTheme="minorHAnsi" w:hAnsiTheme="minorHAnsi" w:cs="Arial"/>
                <w:sz w:val="20"/>
                <w:szCs w:val="20"/>
              </w:rPr>
            </w:pPr>
            <w:r w:rsidRPr="009D3AC5">
              <w:rPr>
                <w:rFonts w:asciiTheme="minorHAnsi" w:hAnsiTheme="minorHAnsi" w:cs="Arial"/>
                <w:sz w:val="20"/>
                <w:szCs w:val="20"/>
              </w:rPr>
              <w:t>22</w:t>
            </w:r>
          </w:p>
        </w:tc>
        <w:tc>
          <w:tcPr>
            <w:tcW w:w="578" w:type="pct"/>
            <w:shd w:val="clear" w:color="auto" w:fill="auto"/>
            <w:noWrap/>
            <w:vAlign w:val="center"/>
          </w:tcPr>
          <w:p w:rsidR="009D3AC5" w:rsidRPr="009D3AC5" w:rsidRDefault="009D3AC5" w:rsidP="000962B0">
            <w:pPr>
              <w:jc w:val="center"/>
              <w:rPr>
                <w:rFonts w:asciiTheme="minorHAnsi" w:hAnsiTheme="minorHAnsi" w:cs="Arial"/>
                <w:sz w:val="20"/>
                <w:szCs w:val="20"/>
              </w:rPr>
            </w:pPr>
            <w:r>
              <w:rPr>
                <w:rFonts w:asciiTheme="minorHAnsi" w:hAnsiTheme="minorHAnsi" w:cs="Arial"/>
                <w:sz w:val="20"/>
                <w:szCs w:val="20"/>
              </w:rPr>
              <w:t>20</w:t>
            </w:r>
          </w:p>
        </w:tc>
        <w:tc>
          <w:tcPr>
            <w:tcW w:w="576" w:type="pct"/>
            <w:tcBorders>
              <w:right w:val="double" w:sz="4" w:space="0" w:color="auto"/>
            </w:tcBorders>
            <w:shd w:val="clear" w:color="auto" w:fill="auto"/>
            <w:noWrap/>
            <w:vAlign w:val="center"/>
          </w:tcPr>
          <w:p w:rsidR="009D3AC5" w:rsidRPr="009D3AC5" w:rsidRDefault="009D3AC5" w:rsidP="000962B0">
            <w:pPr>
              <w:jc w:val="center"/>
              <w:rPr>
                <w:rFonts w:asciiTheme="minorHAnsi" w:hAnsiTheme="minorHAnsi" w:cs="Arial"/>
                <w:sz w:val="20"/>
                <w:szCs w:val="20"/>
              </w:rPr>
            </w:pPr>
            <w:r w:rsidRPr="009D3AC5">
              <w:rPr>
                <w:rFonts w:asciiTheme="minorHAnsi" w:hAnsiTheme="minorHAnsi" w:cs="Arial"/>
                <w:sz w:val="20"/>
                <w:szCs w:val="20"/>
              </w:rPr>
              <w:t>22</w:t>
            </w:r>
          </w:p>
        </w:tc>
      </w:tr>
      <w:tr w:rsidR="009D3AC5" w:rsidRPr="0022296B" w:rsidTr="009D3AC5">
        <w:trPr>
          <w:trHeight w:val="817"/>
          <w:jc w:val="center"/>
        </w:trPr>
        <w:tc>
          <w:tcPr>
            <w:tcW w:w="746" w:type="pct"/>
            <w:tcBorders>
              <w:left w:val="double" w:sz="4" w:space="0" w:color="auto"/>
              <w:bottom w:val="double" w:sz="4" w:space="0" w:color="auto"/>
            </w:tcBorders>
            <w:shd w:val="clear" w:color="auto" w:fill="auto"/>
            <w:noWrap/>
            <w:vAlign w:val="center"/>
          </w:tcPr>
          <w:p w:rsidR="009D3AC5" w:rsidRPr="0022296B" w:rsidRDefault="009D3AC5" w:rsidP="000962B0">
            <w:pPr>
              <w:jc w:val="center"/>
              <w:rPr>
                <w:rFonts w:ascii="Arial" w:hAnsi="Arial" w:cs="Arial"/>
                <w:b/>
                <w:sz w:val="20"/>
                <w:szCs w:val="20"/>
              </w:rPr>
            </w:pPr>
            <w:r w:rsidRPr="0022296B">
              <w:rPr>
                <w:rFonts w:ascii="Arial" w:hAnsi="Arial" w:cs="Arial"/>
                <w:b/>
                <w:sz w:val="20"/>
                <w:szCs w:val="20"/>
              </w:rPr>
              <w:t>T5</w:t>
            </w:r>
          </w:p>
        </w:tc>
        <w:tc>
          <w:tcPr>
            <w:tcW w:w="788" w:type="pct"/>
            <w:tcBorders>
              <w:bottom w:val="double" w:sz="4" w:space="0" w:color="auto"/>
            </w:tcBorders>
            <w:shd w:val="clear" w:color="auto" w:fill="auto"/>
            <w:vAlign w:val="center"/>
          </w:tcPr>
          <w:p w:rsidR="009D3AC5" w:rsidRPr="009D3AC5" w:rsidRDefault="009D3AC5" w:rsidP="009D3AC5">
            <w:pPr>
              <w:jc w:val="center"/>
              <w:rPr>
                <w:rFonts w:asciiTheme="minorHAnsi" w:hAnsiTheme="minorHAnsi" w:cs="Arial"/>
                <w:sz w:val="18"/>
                <w:szCs w:val="20"/>
              </w:rPr>
            </w:pPr>
            <w:r w:rsidRPr="009D3AC5">
              <w:rPr>
                <w:rFonts w:asciiTheme="minorHAnsi" w:hAnsiTheme="minorHAnsi" w:cs="Arial"/>
                <w:sz w:val="18"/>
                <w:szCs w:val="20"/>
              </w:rPr>
              <w:t>Reposición S Reconstrucción P Rendimiento objetivo alto</w:t>
            </w:r>
          </w:p>
        </w:tc>
        <w:tc>
          <w:tcPr>
            <w:tcW w:w="578" w:type="pct"/>
            <w:tcBorders>
              <w:bottom w:val="double" w:sz="4" w:space="0" w:color="auto"/>
            </w:tcBorders>
            <w:shd w:val="clear" w:color="auto" w:fill="auto"/>
            <w:vAlign w:val="center"/>
          </w:tcPr>
          <w:p w:rsidR="009D3AC5" w:rsidRPr="009D3AC5" w:rsidRDefault="009D3AC5" w:rsidP="009D3AC5">
            <w:pPr>
              <w:jc w:val="center"/>
              <w:rPr>
                <w:rFonts w:asciiTheme="minorHAnsi" w:hAnsiTheme="minorHAnsi" w:cs="Arial"/>
                <w:sz w:val="20"/>
                <w:szCs w:val="20"/>
              </w:rPr>
            </w:pPr>
            <w:r w:rsidRPr="009D3AC5">
              <w:rPr>
                <w:rFonts w:asciiTheme="minorHAnsi" w:hAnsiTheme="minorHAnsi" w:cs="Arial"/>
                <w:sz w:val="20"/>
                <w:szCs w:val="20"/>
              </w:rPr>
              <w:t>46</w:t>
            </w:r>
          </w:p>
        </w:tc>
        <w:tc>
          <w:tcPr>
            <w:tcW w:w="578" w:type="pct"/>
            <w:tcBorders>
              <w:bottom w:val="double" w:sz="4" w:space="0" w:color="auto"/>
            </w:tcBorders>
            <w:shd w:val="clear" w:color="auto" w:fill="auto"/>
            <w:noWrap/>
            <w:vAlign w:val="center"/>
          </w:tcPr>
          <w:p w:rsidR="009D3AC5" w:rsidRPr="009D3AC5" w:rsidRDefault="009D3AC5" w:rsidP="009D3AC5">
            <w:pPr>
              <w:jc w:val="center"/>
              <w:rPr>
                <w:rFonts w:asciiTheme="minorHAnsi" w:hAnsiTheme="minorHAnsi" w:cs="Arial"/>
                <w:sz w:val="20"/>
                <w:szCs w:val="20"/>
              </w:rPr>
            </w:pPr>
            <w:r w:rsidRPr="009D3AC5">
              <w:rPr>
                <w:rFonts w:asciiTheme="minorHAnsi" w:hAnsiTheme="minorHAnsi" w:cs="Arial"/>
                <w:sz w:val="20"/>
                <w:szCs w:val="20"/>
              </w:rPr>
              <w:t>42</w:t>
            </w:r>
          </w:p>
        </w:tc>
        <w:tc>
          <w:tcPr>
            <w:tcW w:w="578" w:type="pct"/>
            <w:tcBorders>
              <w:bottom w:val="double" w:sz="4" w:space="0" w:color="auto"/>
            </w:tcBorders>
            <w:shd w:val="clear" w:color="auto" w:fill="auto"/>
            <w:noWrap/>
            <w:vAlign w:val="center"/>
          </w:tcPr>
          <w:p w:rsidR="009D3AC5" w:rsidRPr="009D3AC5" w:rsidRDefault="009D3AC5" w:rsidP="000962B0">
            <w:pPr>
              <w:jc w:val="center"/>
              <w:rPr>
                <w:rFonts w:asciiTheme="minorHAnsi" w:hAnsiTheme="minorHAnsi" w:cs="Arial"/>
                <w:sz w:val="20"/>
                <w:szCs w:val="20"/>
              </w:rPr>
            </w:pPr>
            <w:r>
              <w:rPr>
                <w:rFonts w:asciiTheme="minorHAnsi" w:hAnsiTheme="minorHAnsi" w:cs="Arial"/>
                <w:sz w:val="20"/>
                <w:szCs w:val="20"/>
              </w:rPr>
              <w:t>36</w:t>
            </w:r>
          </w:p>
        </w:tc>
        <w:tc>
          <w:tcPr>
            <w:tcW w:w="578" w:type="pct"/>
            <w:tcBorders>
              <w:bottom w:val="double" w:sz="4" w:space="0" w:color="auto"/>
            </w:tcBorders>
            <w:shd w:val="clear" w:color="auto" w:fill="auto"/>
            <w:vAlign w:val="center"/>
          </w:tcPr>
          <w:p w:rsidR="009D3AC5" w:rsidRPr="009D3AC5" w:rsidRDefault="009D3AC5" w:rsidP="000962B0">
            <w:pPr>
              <w:jc w:val="center"/>
              <w:rPr>
                <w:rFonts w:asciiTheme="minorHAnsi" w:hAnsiTheme="minorHAnsi" w:cs="Arial"/>
                <w:sz w:val="20"/>
                <w:szCs w:val="20"/>
              </w:rPr>
            </w:pPr>
            <w:r w:rsidRPr="009D3AC5">
              <w:rPr>
                <w:rFonts w:asciiTheme="minorHAnsi" w:hAnsiTheme="minorHAnsi" w:cs="Arial"/>
                <w:sz w:val="20"/>
                <w:szCs w:val="20"/>
              </w:rPr>
              <w:t>22</w:t>
            </w:r>
          </w:p>
        </w:tc>
        <w:tc>
          <w:tcPr>
            <w:tcW w:w="578" w:type="pct"/>
            <w:tcBorders>
              <w:bottom w:val="double" w:sz="4" w:space="0" w:color="auto"/>
            </w:tcBorders>
            <w:shd w:val="clear" w:color="auto" w:fill="auto"/>
            <w:noWrap/>
            <w:vAlign w:val="center"/>
          </w:tcPr>
          <w:p w:rsidR="009D3AC5" w:rsidRPr="009D3AC5" w:rsidRDefault="009D3AC5" w:rsidP="000962B0">
            <w:pPr>
              <w:jc w:val="center"/>
              <w:rPr>
                <w:rFonts w:asciiTheme="minorHAnsi" w:hAnsiTheme="minorHAnsi" w:cs="Arial"/>
                <w:sz w:val="20"/>
                <w:szCs w:val="20"/>
              </w:rPr>
            </w:pPr>
            <w:r>
              <w:rPr>
                <w:rFonts w:asciiTheme="minorHAnsi" w:hAnsiTheme="minorHAnsi" w:cs="Arial"/>
                <w:sz w:val="20"/>
                <w:szCs w:val="20"/>
              </w:rPr>
              <w:t>36</w:t>
            </w:r>
          </w:p>
        </w:tc>
        <w:tc>
          <w:tcPr>
            <w:tcW w:w="576" w:type="pct"/>
            <w:tcBorders>
              <w:bottom w:val="double" w:sz="4" w:space="0" w:color="auto"/>
              <w:right w:val="double" w:sz="4" w:space="0" w:color="auto"/>
            </w:tcBorders>
            <w:shd w:val="clear" w:color="auto" w:fill="auto"/>
            <w:noWrap/>
            <w:vAlign w:val="center"/>
          </w:tcPr>
          <w:p w:rsidR="009D3AC5" w:rsidRPr="009D3AC5" w:rsidRDefault="009D3AC5" w:rsidP="000962B0">
            <w:pPr>
              <w:jc w:val="center"/>
              <w:rPr>
                <w:rFonts w:asciiTheme="minorHAnsi" w:hAnsiTheme="minorHAnsi" w:cs="Arial"/>
                <w:sz w:val="20"/>
                <w:szCs w:val="20"/>
              </w:rPr>
            </w:pPr>
            <w:r w:rsidRPr="009D3AC5">
              <w:rPr>
                <w:rFonts w:asciiTheme="minorHAnsi" w:hAnsiTheme="minorHAnsi" w:cs="Arial"/>
                <w:sz w:val="20"/>
                <w:szCs w:val="20"/>
              </w:rPr>
              <w:t>22</w:t>
            </w:r>
          </w:p>
        </w:tc>
      </w:tr>
    </w:tbl>
    <w:p w:rsidR="00777A12" w:rsidRPr="0022296B" w:rsidRDefault="00777A12" w:rsidP="00FD706A">
      <w:pPr>
        <w:jc w:val="both"/>
        <w:rPr>
          <w:rFonts w:ascii="Arial" w:hAnsi="Arial" w:cs="Arial"/>
          <w:sz w:val="22"/>
          <w:szCs w:val="22"/>
          <w:lang w:val="es-ES_tradnl"/>
        </w:rPr>
      </w:pPr>
    </w:p>
    <w:tbl>
      <w:tblPr>
        <w:tblW w:w="48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6"/>
        <w:gridCol w:w="1530"/>
        <w:gridCol w:w="1122"/>
        <w:gridCol w:w="1121"/>
        <w:gridCol w:w="1121"/>
        <w:gridCol w:w="1121"/>
        <w:gridCol w:w="1121"/>
        <w:gridCol w:w="1119"/>
      </w:tblGrid>
      <w:tr w:rsidR="0063431A" w:rsidRPr="0022296B" w:rsidTr="009D3AC5">
        <w:trPr>
          <w:trHeight w:val="255"/>
          <w:jc w:val="center"/>
        </w:trPr>
        <w:tc>
          <w:tcPr>
            <w:tcW w:w="745" w:type="pct"/>
            <w:tcBorders>
              <w:top w:val="double" w:sz="4" w:space="0" w:color="auto"/>
              <w:left w:val="double" w:sz="4" w:space="0" w:color="auto"/>
              <w:bottom w:val="nil"/>
            </w:tcBorders>
            <w:shd w:val="clear" w:color="auto" w:fill="auto"/>
            <w:noWrap/>
            <w:vAlign w:val="center"/>
          </w:tcPr>
          <w:p w:rsidR="0063431A" w:rsidRPr="0022296B" w:rsidRDefault="0063431A" w:rsidP="000962B0">
            <w:pPr>
              <w:jc w:val="center"/>
              <w:rPr>
                <w:rFonts w:ascii="Arial" w:hAnsi="Arial" w:cs="Arial"/>
                <w:sz w:val="20"/>
                <w:szCs w:val="20"/>
              </w:rPr>
            </w:pPr>
          </w:p>
        </w:tc>
        <w:tc>
          <w:tcPr>
            <w:tcW w:w="788" w:type="pct"/>
            <w:tcBorders>
              <w:top w:val="double" w:sz="4" w:space="0" w:color="auto"/>
              <w:bottom w:val="nil"/>
            </w:tcBorders>
            <w:shd w:val="clear" w:color="auto" w:fill="auto"/>
            <w:vAlign w:val="center"/>
          </w:tcPr>
          <w:p w:rsidR="0063431A" w:rsidRPr="0022296B" w:rsidRDefault="0063431A" w:rsidP="000962B0">
            <w:pPr>
              <w:jc w:val="center"/>
              <w:rPr>
                <w:rFonts w:ascii="Arial" w:hAnsi="Arial" w:cs="Arial"/>
                <w:b/>
                <w:sz w:val="20"/>
                <w:szCs w:val="20"/>
              </w:rPr>
            </w:pPr>
          </w:p>
        </w:tc>
        <w:tc>
          <w:tcPr>
            <w:tcW w:w="3467" w:type="pct"/>
            <w:gridSpan w:val="6"/>
            <w:tcBorders>
              <w:top w:val="double" w:sz="4" w:space="0" w:color="auto"/>
              <w:bottom w:val="nil"/>
              <w:right w:val="double" w:sz="4" w:space="0" w:color="auto"/>
            </w:tcBorders>
            <w:shd w:val="clear" w:color="auto" w:fill="auto"/>
            <w:vAlign w:val="center"/>
          </w:tcPr>
          <w:p w:rsidR="0063431A" w:rsidRPr="0022296B" w:rsidRDefault="009D3AC5" w:rsidP="000962B0">
            <w:pPr>
              <w:jc w:val="center"/>
              <w:rPr>
                <w:rFonts w:ascii="Arial" w:hAnsi="Arial" w:cs="Arial"/>
                <w:b/>
                <w:bCs/>
                <w:sz w:val="20"/>
                <w:szCs w:val="20"/>
              </w:rPr>
            </w:pPr>
            <w:r>
              <w:rPr>
                <w:rFonts w:ascii="Arial" w:hAnsi="Arial" w:cs="Arial"/>
                <w:b/>
                <w:bCs/>
                <w:sz w:val="20"/>
                <w:szCs w:val="20"/>
              </w:rPr>
              <w:t>Azufre (S</w:t>
            </w:r>
            <w:r w:rsidR="0063431A">
              <w:rPr>
                <w:rFonts w:ascii="Arial" w:hAnsi="Arial" w:cs="Arial"/>
                <w:b/>
                <w:bCs/>
                <w:sz w:val="20"/>
                <w:szCs w:val="20"/>
              </w:rPr>
              <w:t>)</w:t>
            </w:r>
          </w:p>
        </w:tc>
      </w:tr>
      <w:tr w:rsidR="009D3AC5" w:rsidRPr="0022296B" w:rsidTr="009D3AC5">
        <w:trPr>
          <w:trHeight w:val="255"/>
          <w:jc w:val="center"/>
        </w:trPr>
        <w:tc>
          <w:tcPr>
            <w:tcW w:w="745" w:type="pct"/>
            <w:tcBorders>
              <w:top w:val="double" w:sz="4" w:space="0" w:color="auto"/>
              <w:left w:val="double" w:sz="4" w:space="0" w:color="auto"/>
              <w:bottom w:val="nil"/>
            </w:tcBorders>
            <w:shd w:val="clear" w:color="auto" w:fill="auto"/>
            <w:noWrap/>
            <w:vAlign w:val="center"/>
          </w:tcPr>
          <w:p w:rsidR="009D3AC5" w:rsidRPr="0022296B" w:rsidRDefault="009D3AC5" w:rsidP="000962B0">
            <w:pPr>
              <w:jc w:val="center"/>
              <w:rPr>
                <w:rFonts w:ascii="Arial" w:hAnsi="Arial" w:cs="Arial"/>
                <w:sz w:val="20"/>
                <w:szCs w:val="20"/>
              </w:rPr>
            </w:pPr>
            <w:r w:rsidRPr="0022296B">
              <w:rPr>
                <w:rFonts w:ascii="Arial" w:hAnsi="Arial" w:cs="Arial"/>
                <w:b/>
                <w:sz w:val="20"/>
                <w:szCs w:val="20"/>
              </w:rPr>
              <w:t>Tratamiento</w:t>
            </w:r>
          </w:p>
        </w:tc>
        <w:tc>
          <w:tcPr>
            <w:tcW w:w="788" w:type="pct"/>
            <w:tcBorders>
              <w:top w:val="double" w:sz="4" w:space="0" w:color="auto"/>
              <w:bottom w:val="nil"/>
            </w:tcBorders>
            <w:shd w:val="clear" w:color="auto" w:fill="auto"/>
            <w:vAlign w:val="center"/>
          </w:tcPr>
          <w:p w:rsidR="009D3AC5" w:rsidRPr="0022296B" w:rsidRDefault="009D3AC5" w:rsidP="000962B0">
            <w:pPr>
              <w:jc w:val="center"/>
              <w:rPr>
                <w:rFonts w:ascii="Arial" w:hAnsi="Arial" w:cs="Arial"/>
                <w:b/>
                <w:sz w:val="20"/>
                <w:szCs w:val="20"/>
              </w:rPr>
            </w:pPr>
            <w:r w:rsidRPr="0022296B">
              <w:rPr>
                <w:rFonts w:ascii="Arial" w:hAnsi="Arial" w:cs="Arial"/>
                <w:b/>
                <w:sz w:val="20"/>
                <w:szCs w:val="20"/>
              </w:rPr>
              <w:t>Criterio de</w:t>
            </w:r>
          </w:p>
        </w:tc>
        <w:tc>
          <w:tcPr>
            <w:tcW w:w="578" w:type="pct"/>
            <w:tcBorders>
              <w:top w:val="double" w:sz="4" w:space="0" w:color="auto"/>
              <w:bottom w:val="nil"/>
            </w:tcBorders>
            <w:shd w:val="clear" w:color="auto" w:fill="auto"/>
            <w:vAlign w:val="center"/>
          </w:tcPr>
          <w:p w:rsidR="009D3AC5" w:rsidRPr="0022296B" w:rsidRDefault="009D3AC5" w:rsidP="000962B0">
            <w:pPr>
              <w:jc w:val="center"/>
              <w:rPr>
                <w:rFonts w:ascii="Arial" w:hAnsi="Arial" w:cs="Arial"/>
                <w:b/>
                <w:bCs/>
                <w:sz w:val="20"/>
                <w:szCs w:val="20"/>
              </w:rPr>
            </w:pPr>
            <w:r>
              <w:rPr>
                <w:rFonts w:ascii="Arial" w:hAnsi="Arial" w:cs="Arial"/>
                <w:b/>
                <w:bCs/>
                <w:sz w:val="20"/>
                <w:szCs w:val="20"/>
              </w:rPr>
              <w:t>maíz</w:t>
            </w:r>
          </w:p>
        </w:tc>
        <w:tc>
          <w:tcPr>
            <w:tcW w:w="578" w:type="pct"/>
            <w:tcBorders>
              <w:top w:val="double" w:sz="4" w:space="0" w:color="auto"/>
              <w:bottom w:val="nil"/>
            </w:tcBorders>
            <w:shd w:val="clear" w:color="auto" w:fill="auto"/>
            <w:noWrap/>
            <w:vAlign w:val="center"/>
          </w:tcPr>
          <w:p w:rsidR="009D3AC5" w:rsidRPr="0022296B" w:rsidRDefault="009D3AC5" w:rsidP="000962B0">
            <w:pPr>
              <w:jc w:val="center"/>
              <w:rPr>
                <w:rFonts w:ascii="Arial" w:hAnsi="Arial" w:cs="Arial"/>
                <w:b/>
                <w:bCs/>
                <w:sz w:val="20"/>
                <w:szCs w:val="20"/>
              </w:rPr>
            </w:pPr>
            <w:r>
              <w:rPr>
                <w:rFonts w:ascii="Arial" w:hAnsi="Arial" w:cs="Arial"/>
                <w:b/>
                <w:bCs/>
                <w:sz w:val="20"/>
                <w:szCs w:val="20"/>
              </w:rPr>
              <w:t>soja</w:t>
            </w:r>
          </w:p>
        </w:tc>
        <w:tc>
          <w:tcPr>
            <w:tcW w:w="578" w:type="pct"/>
            <w:tcBorders>
              <w:top w:val="double" w:sz="4" w:space="0" w:color="auto"/>
              <w:bottom w:val="nil"/>
            </w:tcBorders>
            <w:shd w:val="clear" w:color="auto" w:fill="auto"/>
            <w:noWrap/>
            <w:vAlign w:val="center"/>
          </w:tcPr>
          <w:p w:rsidR="009D3AC5" w:rsidRPr="0022296B" w:rsidRDefault="009D3AC5" w:rsidP="000962B0">
            <w:pPr>
              <w:jc w:val="center"/>
              <w:rPr>
                <w:rFonts w:ascii="Arial" w:hAnsi="Arial" w:cs="Arial"/>
                <w:b/>
                <w:bCs/>
                <w:sz w:val="20"/>
                <w:szCs w:val="20"/>
              </w:rPr>
            </w:pPr>
            <w:r>
              <w:rPr>
                <w:rFonts w:ascii="Arial" w:hAnsi="Arial" w:cs="Arial"/>
                <w:b/>
                <w:bCs/>
                <w:sz w:val="20"/>
                <w:szCs w:val="20"/>
              </w:rPr>
              <w:t>trigo</w:t>
            </w:r>
          </w:p>
        </w:tc>
        <w:tc>
          <w:tcPr>
            <w:tcW w:w="578" w:type="pct"/>
            <w:tcBorders>
              <w:top w:val="double" w:sz="4" w:space="0" w:color="auto"/>
              <w:bottom w:val="nil"/>
            </w:tcBorders>
            <w:shd w:val="clear" w:color="auto" w:fill="auto"/>
            <w:vAlign w:val="center"/>
          </w:tcPr>
          <w:p w:rsidR="009D3AC5" w:rsidRPr="0022296B" w:rsidRDefault="009D3AC5" w:rsidP="000962B0">
            <w:pPr>
              <w:jc w:val="center"/>
              <w:rPr>
                <w:rFonts w:ascii="Arial" w:hAnsi="Arial" w:cs="Arial"/>
                <w:b/>
                <w:bCs/>
                <w:sz w:val="20"/>
                <w:szCs w:val="20"/>
              </w:rPr>
            </w:pPr>
            <w:r>
              <w:rPr>
                <w:rFonts w:ascii="Arial" w:hAnsi="Arial" w:cs="Arial"/>
                <w:b/>
                <w:bCs/>
                <w:sz w:val="20"/>
                <w:szCs w:val="20"/>
              </w:rPr>
              <w:t>soja 2</w:t>
            </w:r>
            <w:r w:rsidRPr="0063431A">
              <w:rPr>
                <w:rFonts w:ascii="Arial" w:hAnsi="Arial" w:cs="Arial"/>
                <w:b/>
                <w:bCs/>
                <w:sz w:val="20"/>
                <w:szCs w:val="20"/>
                <w:vertAlign w:val="superscript"/>
              </w:rPr>
              <w:t>da</w:t>
            </w:r>
          </w:p>
        </w:tc>
        <w:tc>
          <w:tcPr>
            <w:tcW w:w="578" w:type="pct"/>
            <w:tcBorders>
              <w:top w:val="double" w:sz="4" w:space="0" w:color="auto"/>
              <w:bottom w:val="nil"/>
            </w:tcBorders>
            <w:shd w:val="clear" w:color="auto" w:fill="auto"/>
            <w:noWrap/>
            <w:vAlign w:val="center"/>
          </w:tcPr>
          <w:p w:rsidR="009D3AC5" w:rsidRPr="0022296B" w:rsidRDefault="009D3AC5" w:rsidP="000962B0">
            <w:pPr>
              <w:jc w:val="center"/>
              <w:rPr>
                <w:rFonts w:ascii="Arial" w:hAnsi="Arial" w:cs="Arial"/>
                <w:b/>
                <w:bCs/>
                <w:sz w:val="20"/>
                <w:szCs w:val="20"/>
              </w:rPr>
            </w:pPr>
            <w:r>
              <w:rPr>
                <w:rFonts w:ascii="Arial" w:hAnsi="Arial" w:cs="Arial"/>
                <w:b/>
                <w:bCs/>
                <w:sz w:val="20"/>
                <w:szCs w:val="20"/>
              </w:rPr>
              <w:t>cebada</w:t>
            </w:r>
          </w:p>
        </w:tc>
        <w:tc>
          <w:tcPr>
            <w:tcW w:w="578" w:type="pct"/>
            <w:tcBorders>
              <w:top w:val="double" w:sz="4" w:space="0" w:color="auto"/>
              <w:bottom w:val="nil"/>
              <w:right w:val="double" w:sz="4" w:space="0" w:color="auto"/>
            </w:tcBorders>
            <w:shd w:val="clear" w:color="auto" w:fill="auto"/>
            <w:noWrap/>
            <w:vAlign w:val="center"/>
          </w:tcPr>
          <w:p w:rsidR="009D3AC5" w:rsidRPr="0022296B" w:rsidRDefault="009D3AC5" w:rsidP="000962B0">
            <w:pPr>
              <w:jc w:val="center"/>
              <w:rPr>
                <w:rFonts w:ascii="Arial" w:hAnsi="Arial" w:cs="Arial"/>
                <w:b/>
                <w:bCs/>
                <w:sz w:val="20"/>
                <w:szCs w:val="20"/>
              </w:rPr>
            </w:pPr>
            <w:r>
              <w:rPr>
                <w:rFonts w:ascii="Arial" w:hAnsi="Arial" w:cs="Arial"/>
                <w:b/>
                <w:bCs/>
                <w:sz w:val="20"/>
                <w:szCs w:val="20"/>
              </w:rPr>
              <w:t>soja 2</w:t>
            </w:r>
            <w:r w:rsidRPr="0063431A">
              <w:rPr>
                <w:rFonts w:ascii="Arial" w:hAnsi="Arial" w:cs="Arial"/>
                <w:b/>
                <w:bCs/>
                <w:sz w:val="20"/>
                <w:szCs w:val="20"/>
                <w:vertAlign w:val="superscript"/>
              </w:rPr>
              <w:t>da</w:t>
            </w:r>
          </w:p>
        </w:tc>
      </w:tr>
      <w:tr w:rsidR="0063431A" w:rsidRPr="0022296B" w:rsidTr="009D3AC5">
        <w:trPr>
          <w:trHeight w:val="82"/>
          <w:jc w:val="center"/>
        </w:trPr>
        <w:tc>
          <w:tcPr>
            <w:tcW w:w="745" w:type="pct"/>
            <w:tcBorders>
              <w:top w:val="nil"/>
              <w:left w:val="double" w:sz="4" w:space="0" w:color="auto"/>
              <w:bottom w:val="double" w:sz="4" w:space="0" w:color="auto"/>
            </w:tcBorders>
            <w:shd w:val="clear" w:color="auto" w:fill="auto"/>
            <w:noWrap/>
            <w:vAlign w:val="center"/>
          </w:tcPr>
          <w:p w:rsidR="0063431A" w:rsidRPr="0022296B" w:rsidRDefault="0063431A" w:rsidP="000962B0">
            <w:pPr>
              <w:jc w:val="center"/>
              <w:rPr>
                <w:rFonts w:ascii="Arial" w:hAnsi="Arial" w:cs="Arial"/>
                <w:sz w:val="20"/>
                <w:szCs w:val="20"/>
              </w:rPr>
            </w:pPr>
          </w:p>
        </w:tc>
        <w:tc>
          <w:tcPr>
            <w:tcW w:w="788" w:type="pct"/>
            <w:tcBorders>
              <w:top w:val="nil"/>
              <w:bottom w:val="double" w:sz="4" w:space="0" w:color="auto"/>
            </w:tcBorders>
            <w:shd w:val="clear" w:color="auto" w:fill="auto"/>
            <w:vAlign w:val="center"/>
          </w:tcPr>
          <w:p w:rsidR="0063431A" w:rsidRPr="0022296B" w:rsidRDefault="0063431A" w:rsidP="000962B0">
            <w:pPr>
              <w:jc w:val="center"/>
              <w:rPr>
                <w:rFonts w:ascii="Arial" w:hAnsi="Arial" w:cs="Arial"/>
                <w:b/>
                <w:sz w:val="20"/>
                <w:szCs w:val="20"/>
              </w:rPr>
            </w:pPr>
            <w:r w:rsidRPr="0022296B">
              <w:rPr>
                <w:rFonts w:ascii="Arial" w:hAnsi="Arial" w:cs="Arial"/>
                <w:b/>
                <w:sz w:val="20"/>
                <w:szCs w:val="20"/>
              </w:rPr>
              <w:t>fertilización</w:t>
            </w:r>
          </w:p>
        </w:tc>
        <w:tc>
          <w:tcPr>
            <w:tcW w:w="578" w:type="pct"/>
            <w:tcBorders>
              <w:top w:val="nil"/>
              <w:bottom w:val="double" w:sz="4" w:space="0" w:color="auto"/>
            </w:tcBorders>
            <w:shd w:val="clear" w:color="auto" w:fill="auto"/>
            <w:vAlign w:val="center"/>
          </w:tcPr>
          <w:p w:rsidR="0063431A" w:rsidRPr="0022296B" w:rsidRDefault="0063431A" w:rsidP="000962B0">
            <w:pPr>
              <w:jc w:val="center"/>
              <w:rPr>
                <w:rFonts w:ascii="Arial" w:hAnsi="Arial" w:cs="Arial"/>
                <w:b/>
                <w:bCs/>
                <w:sz w:val="20"/>
                <w:szCs w:val="20"/>
              </w:rPr>
            </w:pPr>
          </w:p>
        </w:tc>
        <w:tc>
          <w:tcPr>
            <w:tcW w:w="578" w:type="pct"/>
            <w:tcBorders>
              <w:top w:val="nil"/>
              <w:bottom w:val="double" w:sz="4" w:space="0" w:color="auto"/>
            </w:tcBorders>
            <w:shd w:val="clear" w:color="auto" w:fill="auto"/>
            <w:noWrap/>
            <w:vAlign w:val="center"/>
          </w:tcPr>
          <w:p w:rsidR="0063431A" w:rsidRPr="0022296B" w:rsidRDefault="0063431A" w:rsidP="000962B0">
            <w:pPr>
              <w:jc w:val="center"/>
              <w:rPr>
                <w:rFonts w:ascii="Arial" w:hAnsi="Arial" w:cs="Arial"/>
                <w:b/>
                <w:bCs/>
                <w:sz w:val="20"/>
                <w:szCs w:val="20"/>
              </w:rPr>
            </w:pPr>
          </w:p>
        </w:tc>
        <w:tc>
          <w:tcPr>
            <w:tcW w:w="578" w:type="pct"/>
            <w:tcBorders>
              <w:top w:val="nil"/>
              <w:bottom w:val="double" w:sz="4" w:space="0" w:color="auto"/>
            </w:tcBorders>
            <w:shd w:val="clear" w:color="auto" w:fill="auto"/>
            <w:noWrap/>
            <w:vAlign w:val="center"/>
          </w:tcPr>
          <w:p w:rsidR="0063431A" w:rsidRPr="0022296B" w:rsidRDefault="0063431A" w:rsidP="000962B0">
            <w:pPr>
              <w:jc w:val="center"/>
              <w:rPr>
                <w:rFonts w:ascii="Arial" w:hAnsi="Arial" w:cs="Arial"/>
                <w:b/>
                <w:bCs/>
                <w:sz w:val="20"/>
                <w:szCs w:val="20"/>
              </w:rPr>
            </w:pPr>
          </w:p>
        </w:tc>
        <w:tc>
          <w:tcPr>
            <w:tcW w:w="578" w:type="pct"/>
            <w:tcBorders>
              <w:top w:val="nil"/>
              <w:bottom w:val="double" w:sz="4" w:space="0" w:color="auto"/>
            </w:tcBorders>
            <w:shd w:val="clear" w:color="auto" w:fill="auto"/>
            <w:vAlign w:val="center"/>
          </w:tcPr>
          <w:p w:rsidR="0063431A" w:rsidRPr="0022296B" w:rsidRDefault="0063431A" w:rsidP="000962B0">
            <w:pPr>
              <w:jc w:val="center"/>
              <w:rPr>
                <w:rFonts w:ascii="Arial" w:hAnsi="Arial" w:cs="Arial"/>
                <w:b/>
                <w:bCs/>
                <w:sz w:val="20"/>
                <w:szCs w:val="20"/>
              </w:rPr>
            </w:pPr>
          </w:p>
        </w:tc>
        <w:tc>
          <w:tcPr>
            <w:tcW w:w="578" w:type="pct"/>
            <w:tcBorders>
              <w:top w:val="nil"/>
              <w:bottom w:val="double" w:sz="4" w:space="0" w:color="auto"/>
            </w:tcBorders>
            <w:shd w:val="clear" w:color="auto" w:fill="auto"/>
            <w:noWrap/>
            <w:vAlign w:val="center"/>
          </w:tcPr>
          <w:p w:rsidR="0063431A" w:rsidRPr="0022296B" w:rsidRDefault="0063431A" w:rsidP="000962B0">
            <w:pPr>
              <w:jc w:val="center"/>
              <w:rPr>
                <w:rFonts w:ascii="Arial" w:hAnsi="Arial" w:cs="Arial"/>
                <w:b/>
                <w:bCs/>
                <w:sz w:val="20"/>
                <w:szCs w:val="20"/>
              </w:rPr>
            </w:pPr>
          </w:p>
        </w:tc>
        <w:tc>
          <w:tcPr>
            <w:tcW w:w="578" w:type="pct"/>
            <w:tcBorders>
              <w:top w:val="nil"/>
              <w:bottom w:val="double" w:sz="4" w:space="0" w:color="auto"/>
              <w:right w:val="double" w:sz="4" w:space="0" w:color="auto"/>
            </w:tcBorders>
            <w:shd w:val="clear" w:color="auto" w:fill="auto"/>
            <w:noWrap/>
            <w:vAlign w:val="center"/>
          </w:tcPr>
          <w:p w:rsidR="0063431A" w:rsidRPr="0022296B" w:rsidRDefault="0063431A" w:rsidP="000962B0">
            <w:pPr>
              <w:jc w:val="center"/>
              <w:rPr>
                <w:rFonts w:ascii="Arial" w:hAnsi="Arial" w:cs="Arial"/>
                <w:b/>
                <w:bCs/>
                <w:sz w:val="20"/>
                <w:szCs w:val="20"/>
              </w:rPr>
            </w:pPr>
          </w:p>
        </w:tc>
      </w:tr>
      <w:tr w:rsidR="009D3AC5" w:rsidRPr="0022296B" w:rsidTr="009D3AC5">
        <w:trPr>
          <w:trHeight w:val="255"/>
          <w:jc w:val="center"/>
        </w:trPr>
        <w:tc>
          <w:tcPr>
            <w:tcW w:w="745" w:type="pct"/>
            <w:tcBorders>
              <w:top w:val="double" w:sz="4" w:space="0" w:color="auto"/>
              <w:left w:val="double" w:sz="4" w:space="0" w:color="auto"/>
            </w:tcBorders>
            <w:shd w:val="clear" w:color="auto" w:fill="auto"/>
            <w:noWrap/>
            <w:vAlign w:val="center"/>
          </w:tcPr>
          <w:p w:rsidR="009D3AC5" w:rsidRPr="0022296B" w:rsidRDefault="009D3AC5" w:rsidP="000962B0">
            <w:pPr>
              <w:jc w:val="center"/>
              <w:rPr>
                <w:rFonts w:ascii="Arial" w:hAnsi="Arial" w:cs="Arial"/>
                <w:b/>
                <w:sz w:val="20"/>
                <w:szCs w:val="20"/>
              </w:rPr>
            </w:pPr>
            <w:r w:rsidRPr="0022296B">
              <w:rPr>
                <w:rFonts w:ascii="Arial" w:hAnsi="Arial" w:cs="Arial"/>
                <w:b/>
                <w:sz w:val="20"/>
                <w:szCs w:val="20"/>
              </w:rPr>
              <w:t>T1</w:t>
            </w:r>
          </w:p>
        </w:tc>
        <w:tc>
          <w:tcPr>
            <w:tcW w:w="788" w:type="pct"/>
            <w:tcBorders>
              <w:top w:val="double" w:sz="4" w:space="0" w:color="auto"/>
            </w:tcBorders>
            <w:shd w:val="clear" w:color="auto" w:fill="auto"/>
            <w:vAlign w:val="center"/>
          </w:tcPr>
          <w:p w:rsidR="009D3AC5" w:rsidRPr="00140A1C" w:rsidRDefault="009D3AC5" w:rsidP="000962B0">
            <w:pPr>
              <w:jc w:val="center"/>
              <w:rPr>
                <w:rFonts w:asciiTheme="minorHAnsi" w:hAnsiTheme="minorHAnsi" w:cs="Arial"/>
                <w:sz w:val="18"/>
                <w:szCs w:val="20"/>
              </w:rPr>
            </w:pPr>
            <w:r w:rsidRPr="00140A1C">
              <w:rPr>
                <w:rFonts w:asciiTheme="minorHAnsi" w:hAnsiTheme="minorHAnsi" w:cs="Arial"/>
                <w:sz w:val="18"/>
                <w:szCs w:val="20"/>
              </w:rPr>
              <w:t>Testigo sin fertilización</w:t>
            </w:r>
          </w:p>
        </w:tc>
        <w:tc>
          <w:tcPr>
            <w:tcW w:w="578" w:type="pct"/>
            <w:tcBorders>
              <w:top w:val="double" w:sz="4" w:space="0" w:color="auto"/>
            </w:tcBorders>
            <w:shd w:val="clear" w:color="auto" w:fill="auto"/>
            <w:vAlign w:val="center"/>
          </w:tcPr>
          <w:p w:rsidR="009D3AC5" w:rsidRPr="00140A1C" w:rsidRDefault="000A3F0A" w:rsidP="000962B0">
            <w:pPr>
              <w:jc w:val="center"/>
              <w:rPr>
                <w:rFonts w:asciiTheme="minorHAnsi" w:hAnsiTheme="minorHAnsi" w:cs="Arial"/>
                <w:sz w:val="20"/>
                <w:szCs w:val="20"/>
              </w:rPr>
            </w:pPr>
            <w:r w:rsidRPr="00140A1C">
              <w:rPr>
                <w:rFonts w:asciiTheme="minorHAnsi" w:hAnsiTheme="minorHAnsi" w:cs="Arial"/>
                <w:sz w:val="20"/>
                <w:szCs w:val="20"/>
              </w:rPr>
              <w:t>0</w:t>
            </w:r>
          </w:p>
        </w:tc>
        <w:tc>
          <w:tcPr>
            <w:tcW w:w="578" w:type="pct"/>
            <w:tcBorders>
              <w:top w:val="double" w:sz="4" w:space="0" w:color="auto"/>
            </w:tcBorders>
            <w:shd w:val="clear" w:color="auto" w:fill="auto"/>
            <w:noWrap/>
            <w:vAlign w:val="center"/>
          </w:tcPr>
          <w:p w:rsidR="009D3AC5" w:rsidRPr="00140A1C" w:rsidRDefault="000A3F0A" w:rsidP="000962B0">
            <w:pPr>
              <w:jc w:val="center"/>
              <w:rPr>
                <w:rFonts w:asciiTheme="minorHAnsi" w:hAnsiTheme="minorHAnsi" w:cs="Arial"/>
                <w:sz w:val="20"/>
                <w:szCs w:val="20"/>
              </w:rPr>
            </w:pPr>
            <w:r w:rsidRPr="00140A1C">
              <w:rPr>
                <w:rFonts w:asciiTheme="minorHAnsi" w:hAnsiTheme="minorHAnsi" w:cs="Arial"/>
                <w:sz w:val="20"/>
                <w:szCs w:val="20"/>
              </w:rPr>
              <w:t>0</w:t>
            </w:r>
          </w:p>
        </w:tc>
        <w:tc>
          <w:tcPr>
            <w:tcW w:w="578" w:type="pct"/>
            <w:tcBorders>
              <w:top w:val="double" w:sz="4" w:space="0" w:color="auto"/>
            </w:tcBorders>
            <w:shd w:val="clear" w:color="auto" w:fill="auto"/>
            <w:vAlign w:val="center"/>
          </w:tcPr>
          <w:p w:rsidR="009D3AC5" w:rsidRPr="00140A1C" w:rsidRDefault="009D3AC5" w:rsidP="000962B0">
            <w:pPr>
              <w:jc w:val="center"/>
              <w:rPr>
                <w:rFonts w:asciiTheme="minorHAnsi" w:hAnsiTheme="minorHAnsi" w:cs="Arial"/>
                <w:sz w:val="20"/>
                <w:szCs w:val="20"/>
              </w:rPr>
            </w:pPr>
            <w:r w:rsidRPr="00140A1C">
              <w:rPr>
                <w:rFonts w:asciiTheme="minorHAnsi" w:hAnsiTheme="minorHAnsi" w:cs="Arial"/>
                <w:sz w:val="20"/>
                <w:szCs w:val="20"/>
              </w:rPr>
              <w:t>0</w:t>
            </w:r>
          </w:p>
        </w:tc>
        <w:tc>
          <w:tcPr>
            <w:tcW w:w="578" w:type="pct"/>
            <w:tcBorders>
              <w:top w:val="double" w:sz="4" w:space="0" w:color="auto"/>
            </w:tcBorders>
            <w:shd w:val="clear" w:color="auto" w:fill="auto"/>
            <w:vAlign w:val="center"/>
          </w:tcPr>
          <w:p w:rsidR="009D3AC5" w:rsidRPr="00140A1C" w:rsidRDefault="009D3AC5" w:rsidP="000962B0">
            <w:pPr>
              <w:jc w:val="center"/>
              <w:rPr>
                <w:rFonts w:asciiTheme="minorHAnsi" w:hAnsiTheme="minorHAnsi" w:cs="Arial"/>
                <w:sz w:val="20"/>
                <w:szCs w:val="20"/>
              </w:rPr>
            </w:pPr>
            <w:r w:rsidRPr="00140A1C">
              <w:rPr>
                <w:rFonts w:asciiTheme="minorHAnsi" w:hAnsiTheme="minorHAnsi" w:cs="Arial"/>
                <w:sz w:val="20"/>
                <w:szCs w:val="20"/>
              </w:rPr>
              <w:t>0</w:t>
            </w:r>
          </w:p>
        </w:tc>
        <w:tc>
          <w:tcPr>
            <w:tcW w:w="578" w:type="pct"/>
            <w:tcBorders>
              <w:top w:val="double" w:sz="4" w:space="0" w:color="auto"/>
            </w:tcBorders>
            <w:shd w:val="clear" w:color="auto" w:fill="auto"/>
            <w:noWrap/>
            <w:vAlign w:val="center"/>
          </w:tcPr>
          <w:p w:rsidR="009D3AC5" w:rsidRPr="00140A1C" w:rsidRDefault="009D3AC5" w:rsidP="000962B0">
            <w:pPr>
              <w:jc w:val="center"/>
              <w:rPr>
                <w:rFonts w:asciiTheme="minorHAnsi" w:hAnsiTheme="minorHAnsi" w:cs="Arial"/>
                <w:sz w:val="20"/>
                <w:szCs w:val="20"/>
              </w:rPr>
            </w:pPr>
            <w:r w:rsidRPr="00140A1C">
              <w:rPr>
                <w:rFonts w:asciiTheme="minorHAnsi" w:hAnsiTheme="minorHAnsi" w:cs="Arial"/>
                <w:sz w:val="20"/>
                <w:szCs w:val="20"/>
              </w:rPr>
              <w:t>0</w:t>
            </w:r>
          </w:p>
        </w:tc>
        <w:tc>
          <w:tcPr>
            <w:tcW w:w="578" w:type="pct"/>
            <w:tcBorders>
              <w:top w:val="double" w:sz="4" w:space="0" w:color="auto"/>
              <w:right w:val="double" w:sz="4" w:space="0" w:color="auto"/>
            </w:tcBorders>
            <w:shd w:val="clear" w:color="auto" w:fill="auto"/>
            <w:noWrap/>
            <w:vAlign w:val="center"/>
          </w:tcPr>
          <w:p w:rsidR="009D3AC5" w:rsidRPr="00140A1C" w:rsidRDefault="009D3AC5" w:rsidP="000962B0">
            <w:pPr>
              <w:jc w:val="center"/>
              <w:rPr>
                <w:rFonts w:asciiTheme="minorHAnsi" w:hAnsiTheme="minorHAnsi" w:cs="Arial"/>
                <w:sz w:val="20"/>
                <w:szCs w:val="20"/>
              </w:rPr>
            </w:pPr>
            <w:r w:rsidRPr="00140A1C">
              <w:rPr>
                <w:rFonts w:asciiTheme="minorHAnsi" w:hAnsiTheme="minorHAnsi" w:cs="Arial"/>
                <w:sz w:val="20"/>
                <w:szCs w:val="20"/>
              </w:rPr>
              <w:t>0</w:t>
            </w:r>
          </w:p>
        </w:tc>
      </w:tr>
      <w:tr w:rsidR="009D3AC5" w:rsidRPr="0022296B" w:rsidTr="009D3AC5">
        <w:trPr>
          <w:trHeight w:val="255"/>
          <w:jc w:val="center"/>
        </w:trPr>
        <w:tc>
          <w:tcPr>
            <w:tcW w:w="745" w:type="pct"/>
            <w:tcBorders>
              <w:left w:val="double" w:sz="4" w:space="0" w:color="auto"/>
            </w:tcBorders>
            <w:shd w:val="clear" w:color="auto" w:fill="auto"/>
            <w:noWrap/>
            <w:vAlign w:val="center"/>
          </w:tcPr>
          <w:p w:rsidR="009D3AC5" w:rsidRPr="0022296B" w:rsidRDefault="009D3AC5" w:rsidP="000962B0">
            <w:pPr>
              <w:jc w:val="center"/>
              <w:rPr>
                <w:rFonts w:ascii="Arial" w:hAnsi="Arial" w:cs="Arial"/>
                <w:b/>
                <w:sz w:val="20"/>
                <w:szCs w:val="20"/>
              </w:rPr>
            </w:pPr>
            <w:r w:rsidRPr="0022296B">
              <w:rPr>
                <w:rFonts w:ascii="Arial" w:hAnsi="Arial" w:cs="Arial"/>
                <w:b/>
                <w:sz w:val="20"/>
                <w:szCs w:val="20"/>
              </w:rPr>
              <w:t>T2</w:t>
            </w:r>
          </w:p>
        </w:tc>
        <w:tc>
          <w:tcPr>
            <w:tcW w:w="788" w:type="pct"/>
            <w:shd w:val="clear" w:color="auto" w:fill="auto"/>
            <w:vAlign w:val="center"/>
          </w:tcPr>
          <w:p w:rsidR="009D3AC5" w:rsidRPr="00140A1C" w:rsidRDefault="009D3AC5" w:rsidP="000962B0">
            <w:pPr>
              <w:jc w:val="center"/>
              <w:rPr>
                <w:rFonts w:asciiTheme="minorHAnsi" w:hAnsiTheme="minorHAnsi" w:cs="Arial"/>
                <w:sz w:val="18"/>
                <w:szCs w:val="20"/>
              </w:rPr>
            </w:pPr>
            <w:r w:rsidRPr="00140A1C">
              <w:rPr>
                <w:rFonts w:asciiTheme="minorHAnsi" w:hAnsiTheme="minorHAnsi" w:cs="Arial"/>
                <w:sz w:val="18"/>
                <w:szCs w:val="20"/>
              </w:rPr>
              <w:t>Tecnología Uso Actual</w:t>
            </w:r>
          </w:p>
        </w:tc>
        <w:tc>
          <w:tcPr>
            <w:tcW w:w="578" w:type="pct"/>
            <w:shd w:val="clear" w:color="auto" w:fill="auto"/>
            <w:vAlign w:val="center"/>
          </w:tcPr>
          <w:p w:rsidR="009D3AC5" w:rsidRPr="00140A1C" w:rsidRDefault="000A3F0A" w:rsidP="000962B0">
            <w:pPr>
              <w:jc w:val="center"/>
              <w:rPr>
                <w:rFonts w:asciiTheme="minorHAnsi" w:hAnsiTheme="minorHAnsi" w:cs="Arial"/>
                <w:sz w:val="20"/>
                <w:szCs w:val="20"/>
              </w:rPr>
            </w:pPr>
            <w:r w:rsidRPr="00140A1C">
              <w:rPr>
                <w:rFonts w:asciiTheme="minorHAnsi" w:hAnsiTheme="minorHAnsi" w:cs="Arial"/>
                <w:sz w:val="20"/>
                <w:szCs w:val="20"/>
              </w:rPr>
              <w:t>0</w:t>
            </w:r>
          </w:p>
        </w:tc>
        <w:tc>
          <w:tcPr>
            <w:tcW w:w="578" w:type="pct"/>
            <w:shd w:val="clear" w:color="auto" w:fill="auto"/>
            <w:noWrap/>
            <w:vAlign w:val="center"/>
          </w:tcPr>
          <w:p w:rsidR="009D3AC5" w:rsidRPr="00140A1C" w:rsidRDefault="000A3F0A" w:rsidP="000962B0">
            <w:pPr>
              <w:jc w:val="center"/>
              <w:rPr>
                <w:rFonts w:asciiTheme="minorHAnsi" w:hAnsiTheme="minorHAnsi" w:cs="Arial"/>
                <w:sz w:val="20"/>
                <w:szCs w:val="20"/>
              </w:rPr>
            </w:pPr>
            <w:r w:rsidRPr="00140A1C">
              <w:rPr>
                <w:rFonts w:asciiTheme="minorHAnsi" w:hAnsiTheme="minorHAnsi" w:cs="Arial"/>
                <w:sz w:val="20"/>
                <w:szCs w:val="20"/>
              </w:rPr>
              <w:t>0</w:t>
            </w:r>
          </w:p>
        </w:tc>
        <w:tc>
          <w:tcPr>
            <w:tcW w:w="578" w:type="pct"/>
            <w:shd w:val="clear" w:color="auto" w:fill="auto"/>
            <w:noWrap/>
            <w:vAlign w:val="center"/>
          </w:tcPr>
          <w:p w:rsidR="009D3AC5" w:rsidRPr="00140A1C" w:rsidRDefault="009D3AC5" w:rsidP="000962B0">
            <w:pPr>
              <w:jc w:val="center"/>
              <w:rPr>
                <w:rFonts w:asciiTheme="minorHAnsi" w:hAnsiTheme="minorHAnsi" w:cs="Arial"/>
                <w:sz w:val="20"/>
                <w:szCs w:val="20"/>
              </w:rPr>
            </w:pPr>
            <w:r w:rsidRPr="00140A1C">
              <w:rPr>
                <w:rFonts w:asciiTheme="minorHAnsi" w:hAnsiTheme="minorHAnsi" w:cs="Arial"/>
                <w:sz w:val="20"/>
                <w:szCs w:val="20"/>
              </w:rPr>
              <w:t>0</w:t>
            </w:r>
          </w:p>
        </w:tc>
        <w:tc>
          <w:tcPr>
            <w:tcW w:w="578" w:type="pct"/>
            <w:shd w:val="clear" w:color="auto" w:fill="auto"/>
            <w:vAlign w:val="center"/>
          </w:tcPr>
          <w:p w:rsidR="009D3AC5" w:rsidRPr="00140A1C" w:rsidRDefault="009D3AC5" w:rsidP="000962B0">
            <w:pPr>
              <w:jc w:val="center"/>
              <w:rPr>
                <w:rFonts w:asciiTheme="minorHAnsi" w:hAnsiTheme="minorHAnsi" w:cs="Arial"/>
                <w:sz w:val="20"/>
                <w:szCs w:val="20"/>
              </w:rPr>
            </w:pPr>
            <w:r w:rsidRPr="00140A1C">
              <w:rPr>
                <w:rFonts w:asciiTheme="minorHAnsi" w:hAnsiTheme="minorHAnsi" w:cs="Arial"/>
                <w:sz w:val="20"/>
                <w:szCs w:val="20"/>
              </w:rPr>
              <w:t>0</w:t>
            </w:r>
          </w:p>
        </w:tc>
        <w:tc>
          <w:tcPr>
            <w:tcW w:w="578" w:type="pct"/>
            <w:shd w:val="clear" w:color="auto" w:fill="auto"/>
            <w:noWrap/>
            <w:vAlign w:val="center"/>
          </w:tcPr>
          <w:p w:rsidR="009D3AC5" w:rsidRPr="00140A1C" w:rsidRDefault="009D3AC5" w:rsidP="000962B0">
            <w:pPr>
              <w:jc w:val="center"/>
              <w:rPr>
                <w:rFonts w:asciiTheme="minorHAnsi" w:hAnsiTheme="minorHAnsi" w:cs="Arial"/>
                <w:sz w:val="20"/>
                <w:szCs w:val="20"/>
              </w:rPr>
            </w:pPr>
            <w:r w:rsidRPr="00140A1C">
              <w:rPr>
                <w:rFonts w:asciiTheme="minorHAnsi" w:hAnsiTheme="minorHAnsi" w:cs="Arial"/>
                <w:sz w:val="20"/>
                <w:szCs w:val="20"/>
              </w:rPr>
              <w:t>0</w:t>
            </w:r>
          </w:p>
        </w:tc>
        <w:tc>
          <w:tcPr>
            <w:tcW w:w="578" w:type="pct"/>
            <w:tcBorders>
              <w:right w:val="double" w:sz="4" w:space="0" w:color="auto"/>
            </w:tcBorders>
            <w:shd w:val="clear" w:color="auto" w:fill="auto"/>
            <w:noWrap/>
            <w:vAlign w:val="center"/>
          </w:tcPr>
          <w:p w:rsidR="009D3AC5" w:rsidRPr="00140A1C" w:rsidRDefault="009D3AC5" w:rsidP="000962B0">
            <w:pPr>
              <w:jc w:val="center"/>
              <w:rPr>
                <w:rFonts w:asciiTheme="minorHAnsi" w:hAnsiTheme="minorHAnsi" w:cs="Arial"/>
                <w:sz w:val="20"/>
                <w:szCs w:val="20"/>
              </w:rPr>
            </w:pPr>
            <w:r w:rsidRPr="00140A1C">
              <w:rPr>
                <w:rFonts w:asciiTheme="minorHAnsi" w:hAnsiTheme="minorHAnsi" w:cs="Arial"/>
                <w:sz w:val="20"/>
                <w:szCs w:val="20"/>
              </w:rPr>
              <w:t>0</w:t>
            </w:r>
          </w:p>
        </w:tc>
      </w:tr>
      <w:tr w:rsidR="009D3AC5" w:rsidRPr="0022296B" w:rsidTr="009D3AC5">
        <w:trPr>
          <w:trHeight w:val="255"/>
          <w:jc w:val="center"/>
        </w:trPr>
        <w:tc>
          <w:tcPr>
            <w:tcW w:w="745" w:type="pct"/>
            <w:tcBorders>
              <w:left w:val="double" w:sz="4" w:space="0" w:color="auto"/>
            </w:tcBorders>
            <w:shd w:val="clear" w:color="auto" w:fill="auto"/>
            <w:noWrap/>
            <w:vAlign w:val="center"/>
          </w:tcPr>
          <w:p w:rsidR="009D3AC5" w:rsidRPr="0022296B" w:rsidRDefault="009D3AC5" w:rsidP="000962B0">
            <w:pPr>
              <w:jc w:val="center"/>
              <w:rPr>
                <w:rFonts w:ascii="Arial" w:hAnsi="Arial" w:cs="Arial"/>
                <w:b/>
                <w:sz w:val="20"/>
                <w:szCs w:val="20"/>
              </w:rPr>
            </w:pPr>
            <w:r w:rsidRPr="0022296B">
              <w:rPr>
                <w:rFonts w:ascii="Arial" w:hAnsi="Arial" w:cs="Arial"/>
                <w:b/>
                <w:sz w:val="20"/>
                <w:szCs w:val="20"/>
              </w:rPr>
              <w:t>T3</w:t>
            </w:r>
          </w:p>
        </w:tc>
        <w:tc>
          <w:tcPr>
            <w:tcW w:w="788" w:type="pct"/>
            <w:shd w:val="clear" w:color="auto" w:fill="auto"/>
            <w:vAlign w:val="center"/>
          </w:tcPr>
          <w:p w:rsidR="009D3AC5" w:rsidRPr="00140A1C" w:rsidRDefault="009D3AC5" w:rsidP="000962B0">
            <w:pPr>
              <w:jc w:val="center"/>
              <w:rPr>
                <w:rFonts w:asciiTheme="minorHAnsi" w:hAnsiTheme="minorHAnsi" w:cs="Arial"/>
                <w:sz w:val="18"/>
                <w:szCs w:val="20"/>
              </w:rPr>
            </w:pPr>
            <w:r w:rsidRPr="00140A1C">
              <w:rPr>
                <w:rFonts w:asciiTheme="minorHAnsi" w:hAnsiTheme="minorHAnsi" w:cs="Arial"/>
                <w:sz w:val="18"/>
                <w:szCs w:val="20"/>
              </w:rPr>
              <w:t>Reposición PS Rendimiento objetivo medio</w:t>
            </w:r>
          </w:p>
        </w:tc>
        <w:tc>
          <w:tcPr>
            <w:tcW w:w="578" w:type="pct"/>
            <w:shd w:val="clear" w:color="auto" w:fill="auto"/>
            <w:vAlign w:val="center"/>
          </w:tcPr>
          <w:p w:rsidR="009D3AC5" w:rsidRPr="00140A1C" w:rsidRDefault="000A3F0A" w:rsidP="000962B0">
            <w:pPr>
              <w:jc w:val="center"/>
              <w:rPr>
                <w:rFonts w:asciiTheme="minorHAnsi" w:hAnsiTheme="minorHAnsi" w:cs="Arial"/>
                <w:sz w:val="20"/>
                <w:szCs w:val="20"/>
              </w:rPr>
            </w:pPr>
            <w:r w:rsidRPr="00140A1C">
              <w:rPr>
                <w:rFonts w:asciiTheme="minorHAnsi" w:hAnsiTheme="minorHAnsi" w:cs="Arial"/>
                <w:sz w:val="20"/>
                <w:szCs w:val="20"/>
              </w:rPr>
              <w:t>18</w:t>
            </w:r>
          </w:p>
        </w:tc>
        <w:tc>
          <w:tcPr>
            <w:tcW w:w="578" w:type="pct"/>
            <w:shd w:val="clear" w:color="auto" w:fill="auto"/>
            <w:noWrap/>
            <w:vAlign w:val="center"/>
          </w:tcPr>
          <w:p w:rsidR="009D3AC5" w:rsidRPr="00140A1C" w:rsidRDefault="000A3F0A" w:rsidP="000962B0">
            <w:pPr>
              <w:jc w:val="center"/>
              <w:rPr>
                <w:rFonts w:asciiTheme="minorHAnsi" w:hAnsiTheme="minorHAnsi" w:cs="Arial"/>
                <w:sz w:val="20"/>
                <w:szCs w:val="20"/>
              </w:rPr>
            </w:pPr>
            <w:r w:rsidRPr="00140A1C">
              <w:rPr>
                <w:rFonts w:asciiTheme="minorHAnsi" w:hAnsiTheme="minorHAnsi" w:cs="Arial"/>
                <w:sz w:val="20"/>
                <w:szCs w:val="20"/>
              </w:rPr>
              <w:t>12</w:t>
            </w:r>
          </w:p>
        </w:tc>
        <w:tc>
          <w:tcPr>
            <w:tcW w:w="578" w:type="pct"/>
            <w:shd w:val="clear" w:color="auto" w:fill="auto"/>
            <w:noWrap/>
            <w:vAlign w:val="center"/>
          </w:tcPr>
          <w:p w:rsidR="009D3AC5" w:rsidRPr="00140A1C" w:rsidRDefault="009D3AC5" w:rsidP="009D3AC5">
            <w:pPr>
              <w:jc w:val="center"/>
              <w:rPr>
                <w:rFonts w:asciiTheme="minorHAnsi" w:hAnsiTheme="minorHAnsi" w:cs="Arial"/>
                <w:sz w:val="20"/>
                <w:szCs w:val="20"/>
              </w:rPr>
            </w:pPr>
            <w:r w:rsidRPr="00140A1C">
              <w:rPr>
                <w:rFonts w:asciiTheme="minorHAnsi" w:hAnsiTheme="minorHAnsi" w:cs="Arial"/>
                <w:sz w:val="20"/>
                <w:szCs w:val="20"/>
              </w:rPr>
              <w:t>7</w:t>
            </w:r>
          </w:p>
        </w:tc>
        <w:tc>
          <w:tcPr>
            <w:tcW w:w="578" w:type="pct"/>
            <w:shd w:val="clear" w:color="auto" w:fill="auto"/>
            <w:vAlign w:val="center"/>
          </w:tcPr>
          <w:p w:rsidR="009D3AC5" w:rsidRPr="00140A1C" w:rsidRDefault="009D3AC5" w:rsidP="000962B0">
            <w:pPr>
              <w:jc w:val="center"/>
              <w:rPr>
                <w:rFonts w:asciiTheme="minorHAnsi" w:hAnsiTheme="minorHAnsi" w:cs="Arial"/>
                <w:sz w:val="20"/>
                <w:szCs w:val="20"/>
              </w:rPr>
            </w:pPr>
            <w:r w:rsidRPr="00140A1C">
              <w:rPr>
                <w:rFonts w:asciiTheme="minorHAnsi" w:hAnsiTheme="minorHAnsi" w:cs="Arial"/>
                <w:sz w:val="20"/>
                <w:szCs w:val="20"/>
              </w:rPr>
              <w:t>8</w:t>
            </w:r>
          </w:p>
        </w:tc>
        <w:tc>
          <w:tcPr>
            <w:tcW w:w="578" w:type="pct"/>
            <w:shd w:val="clear" w:color="auto" w:fill="auto"/>
            <w:noWrap/>
            <w:vAlign w:val="center"/>
          </w:tcPr>
          <w:p w:rsidR="009D3AC5" w:rsidRPr="00140A1C" w:rsidRDefault="009D3AC5" w:rsidP="000962B0">
            <w:pPr>
              <w:jc w:val="center"/>
              <w:rPr>
                <w:rFonts w:asciiTheme="minorHAnsi" w:hAnsiTheme="minorHAnsi" w:cs="Arial"/>
                <w:sz w:val="20"/>
                <w:szCs w:val="20"/>
              </w:rPr>
            </w:pPr>
            <w:r w:rsidRPr="00140A1C">
              <w:rPr>
                <w:rFonts w:asciiTheme="minorHAnsi" w:hAnsiTheme="minorHAnsi" w:cs="Arial"/>
                <w:sz w:val="20"/>
                <w:szCs w:val="20"/>
              </w:rPr>
              <w:t>7</w:t>
            </w:r>
          </w:p>
        </w:tc>
        <w:tc>
          <w:tcPr>
            <w:tcW w:w="578" w:type="pct"/>
            <w:tcBorders>
              <w:right w:val="double" w:sz="4" w:space="0" w:color="auto"/>
            </w:tcBorders>
            <w:shd w:val="clear" w:color="auto" w:fill="auto"/>
            <w:noWrap/>
            <w:vAlign w:val="center"/>
          </w:tcPr>
          <w:p w:rsidR="009D3AC5" w:rsidRPr="00140A1C" w:rsidRDefault="009D3AC5" w:rsidP="000962B0">
            <w:pPr>
              <w:jc w:val="center"/>
              <w:rPr>
                <w:rFonts w:asciiTheme="minorHAnsi" w:hAnsiTheme="minorHAnsi" w:cs="Arial"/>
                <w:sz w:val="20"/>
                <w:szCs w:val="20"/>
              </w:rPr>
            </w:pPr>
            <w:r w:rsidRPr="00140A1C">
              <w:rPr>
                <w:rFonts w:asciiTheme="minorHAnsi" w:hAnsiTheme="minorHAnsi" w:cs="Arial"/>
                <w:sz w:val="20"/>
                <w:szCs w:val="20"/>
              </w:rPr>
              <w:t>8</w:t>
            </w:r>
          </w:p>
        </w:tc>
      </w:tr>
      <w:tr w:rsidR="009D3AC5" w:rsidRPr="0022296B" w:rsidTr="009D3AC5">
        <w:trPr>
          <w:trHeight w:val="255"/>
          <w:jc w:val="center"/>
        </w:trPr>
        <w:tc>
          <w:tcPr>
            <w:tcW w:w="745" w:type="pct"/>
            <w:tcBorders>
              <w:left w:val="double" w:sz="4" w:space="0" w:color="auto"/>
            </w:tcBorders>
            <w:shd w:val="clear" w:color="auto" w:fill="auto"/>
            <w:noWrap/>
            <w:vAlign w:val="center"/>
          </w:tcPr>
          <w:p w:rsidR="009D3AC5" w:rsidRPr="0022296B" w:rsidRDefault="009D3AC5" w:rsidP="000962B0">
            <w:pPr>
              <w:jc w:val="center"/>
              <w:rPr>
                <w:rFonts w:ascii="Arial" w:hAnsi="Arial" w:cs="Arial"/>
                <w:b/>
                <w:sz w:val="20"/>
                <w:szCs w:val="20"/>
              </w:rPr>
            </w:pPr>
            <w:r w:rsidRPr="0022296B">
              <w:rPr>
                <w:rFonts w:ascii="Arial" w:hAnsi="Arial" w:cs="Arial"/>
                <w:b/>
                <w:sz w:val="20"/>
                <w:szCs w:val="20"/>
              </w:rPr>
              <w:t>T4</w:t>
            </w:r>
          </w:p>
        </w:tc>
        <w:tc>
          <w:tcPr>
            <w:tcW w:w="788" w:type="pct"/>
            <w:shd w:val="clear" w:color="auto" w:fill="auto"/>
            <w:vAlign w:val="center"/>
          </w:tcPr>
          <w:p w:rsidR="009D3AC5" w:rsidRPr="00140A1C" w:rsidRDefault="009D3AC5" w:rsidP="000962B0">
            <w:pPr>
              <w:jc w:val="center"/>
              <w:rPr>
                <w:rFonts w:asciiTheme="minorHAnsi" w:hAnsiTheme="minorHAnsi" w:cs="Arial"/>
                <w:sz w:val="18"/>
                <w:szCs w:val="20"/>
              </w:rPr>
            </w:pPr>
            <w:r w:rsidRPr="00140A1C">
              <w:rPr>
                <w:rFonts w:asciiTheme="minorHAnsi" w:hAnsiTheme="minorHAnsi" w:cs="Arial"/>
                <w:sz w:val="18"/>
                <w:szCs w:val="20"/>
              </w:rPr>
              <w:t>Reposición PS Rendimiento objetivo alto</w:t>
            </w:r>
          </w:p>
        </w:tc>
        <w:tc>
          <w:tcPr>
            <w:tcW w:w="578" w:type="pct"/>
            <w:shd w:val="clear" w:color="auto" w:fill="auto"/>
            <w:vAlign w:val="center"/>
          </w:tcPr>
          <w:p w:rsidR="009D3AC5" w:rsidRPr="00140A1C" w:rsidRDefault="000A3F0A" w:rsidP="000962B0">
            <w:pPr>
              <w:jc w:val="center"/>
              <w:rPr>
                <w:rFonts w:asciiTheme="minorHAnsi" w:hAnsiTheme="minorHAnsi" w:cs="Arial"/>
                <w:sz w:val="20"/>
                <w:szCs w:val="20"/>
              </w:rPr>
            </w:pPr>
            <w:r w:rsidRPr="00140A1C">
              <w:rPr>
                <w:rFonts w:asciiTheme="minorHAnsi" w:hAnsiTheme="minorHAnsi" w:cs="Arial"/>
                <w:sz w:val="20"/>
                <w:szCs w:val="20"/>
              </w:rPr>
              <w:t>18</w:t>
            </w:r>
          </w:p>
        </w:tc>
        <w:tc>
          <w:tcPr>
            <w:tcW w:w="578" w:type="pct"/>
            <w:shd w:val="clear" w:color="auto" w:fill="auto"/>
            <w:noWrap/>
            <w:vAlign w:val="center"/>
          </w:tcPr>
          <w:p w:rsidR="009D3AC5" w:rsidRPr="00140A1C" w:rsidRDefault="000A3F0A" w:rsidP="000962B0">
            <w:pPr>
              <w:jc w:val="center"/>
              <w:rPr>
                <w:rFonts w:asciiTheme="minorHAnsi" w:hAnsiTheme="minorHAnsi" w:cs="Arial"/>
                <w:sz w:val="20"/>
                <w:szCs w:val="20"/>
              </w:rPr>
            </w:pPr>
            <w:r w:rsidRPr="00140A1C">
              <w:rPr>
                <w:rFonts w:asciiTheme="minorHAnsi" w:hAnsiTheme="minorHAnsi" w:cs="Arial"/>
                <w:sz w:val="20"/>
                <w:szCs w:val="20"/>
              </w:rPr>
              <w:t>15</w:t>
            </w:r>
          </w:p>
        </w:tc>
        <w:tc>
          <w:tcPr>
            <w:tcW w:w="578" w:type="pct"/>
            <w:shd w:val="clear" w:color="auto" w:fill="auto"/>
            <w:noWrap/>
            <w:vAlign w:val="center"/>
          </w:tcPr>
          <w:p w:rsidR="009D3AC5" w:rsidRPr="00140A1C" w:rsidRDefault="009D3AC5" w:rsidP="009D3AC5">
            <w:pPr>
              <w:jc w:val="center"/>
              <w:rPr>
                <w:rFonts w:asciiTheme="minorHAnsi" w:hAnsiTheme="minorHAnsi" w:cs="Arial"/>
                <w:sz w:val="20"/>
                <w:szCs w:val="20"/>
              </w:rPr>
            </w:pPr>
            <w:r w:rsidRPr="00140A1C">
              <w:rPr>
                <w:rFonts w:asciiTheme="minorHAnsi" w:hAnsiTheme="minorHAnsi" w:cs="Arial"/>
                <w:sz w:val="20"/>
                <w:szCs w:val="20"/>
              </w:rPr>
              <w:t>9</w:t>
            </w:r>
          </w:p>
        </w:tc>
        <w:tc>
          <w:tcPr>
            <w:tcW w:w="578" w:type="pct"/>
            <w:shd w:val="clear" w:color="auto" w:fill="auto"/>
            <w:vAlign w:val="center"/>
          </w:tcPr>
          <w:p w:rsidR="009D3AC5" w:rsidRPr="00140A1C" w:rsidRDefault="009D3AC5" w:rsidP="000962B0">
            <w:pPr>
              <w:jc w:val="center"/>
              <w:rPr>
                <w:rFonts w:asciiTheme="minorHAnsi" w:hAnsiTheme="minorHAnsi" w:cs="Arial"/>
                <w:sz w:val="20"/>
                <w:szCs w:val="20"/>
              </w:rPr>
            </w:pPr>
            <w:r w:rsidRPr="00140A1C">
              <w:rPr>
                <w:rFonts w:asciiTheme="minorHAnsi" w:hAnsiTheme="minorHAnsi" w:cs="Arial"/>
                <w:sz w:val="20"/>
                <w:szCs w:val="20"/>
              </w:rPr>
              <w:t>11</w:t>
            </w:r>
          </w:p>
        </w:tc>
        <w:tc>
          <w:tcPr>
            <w:tcW w:w="578" w:type="pct"/>
            <w:shd w:val="clear" w:color="auto" w:fill="auto"/>
            <w:noWrap/>
            <w:vAlign w:val="center"/>
          </w:tcPr>
          <w:p w:rsidR="009D3AC5" w:rsidRPr="00140A1C" w:rsidRDefault="009D3AC5" w:rsidP="000962B0">
            <w:pPr>
              <w:jc w:val="center"/>
              <w:rPr>
                <w:rFonts w:asciiTheme="minorHAnsi" w:hAnsiTheme="minorHAnsi" w:cs="Arial"/>
                <w:sz w:val="20"/>
                <w:szCs w:val="20"/>
              </w:rPr>
            </w:pPr>
            <w:r w:rsidRPr="00140A1C">
              <w:rPr>
                <w:rFonts w:asciiTheme="minorHAnsi" w:hAnsiTheme="minorHAnsi" w:cs="Arial"/>
                <w:sz w:val="20"/>
                <w:szCs w:val="20"/>
              </w:rPr>
              <w:t>9</w:t>
            </w:r>
          </w:p>
        </w:tc>
        <w:tc>
          <w:tcPr>
            <w:tcW w:w="578" w:type="pct"/>
            <w:tcBorders>
              <w:right w:val="double" w:sz="4" w:space="0" w:color="auto"/>
            </w:tcBorders>
            <w:shd w:val="clear" w:color="auto" w:fill="auto"/>
            <w:noWrap/>
            <w:vAlign w:val="center"/>
          </w:tcPr>
          <w:p w:rsidR="009D3AC5" w:rsidRPr="00140A1C" w:rsidRDefault="009D3AC5" w:rsidP="000962B0">
            <w:pPr>
              <w:jc w:val="center"/>
              <w:rPr>
                <w:rFonts w:asciiTheme="minorHAnsi" w:hAnsiTheme="minorHAnsi" w:cs="Arial"/>
                <w:sz w:val="20"/>
                <w:szCs w:val="20"/>
              </w:rPr>
            </w:pPr>
            <w:r w:rsidRPr="00140A1C">
              <w:rPr>
                <w:rFonts w:asciiTheme="minorHAnsi" w:hAnsiTheme="minorHAnsi" w:cs="Arial"/>
                <w:sz w:val="20"/>
                <w:szCs w:val="20"/>
              </w:rPr>
              <w:t>11</w:t>
            </w:r>
          </w:p>
        </w:tc>
      </w:tr>
      <w:tr w:rsidR="009D3AC5" w:rsidRPr="0022296B" w:rsidTr="009D3AC5">
        <w:trPr>
          <w:trHeight w:val="817"/>
          <w:jc w:val="center"/>
        </w:trPr>
        <w:tc>
          <w:tcPr>
            <w:tcW w:w="745" w:type="pct"/>
            <w:tcBorders>
              <w:left w:val="double" w:sz="4" w:space="0" w:color="auto"/>
              <w:bottom w:val="double" w:sz="4" w:space="0" w:color="auto"/>
            </w:tcBorders>
            <w:shd w:val="clear" w:color="auto" w:fill="auto"/>
            <w:noWrap/>
            <w:vAlign w:val="center"/>
          </w:tcPr>
          <w:p w:rsidR="009D3AC5" w:rsidRPr="0022296B" w:rsidRDefault="009D3AC5" w:rsidP="000962B0">
            <w:pPr>
              <w:jc w:val="center"/>
              <w:rPr>
                <w:rFonts w:ascii="Arial" w:hAnsi="Arial" w:cs="Arial"/>
                <w:b/>
                <w:sz w:val="20"/>
                <w:szCs w:val="20"/>
              </w:rPr>
            </w:pPr>
            <w:r w:rsidRPr="0022296B">
              <w:rPr>
                <w:rFonts w:ascii="Arial" w:hAnsi="Arial" w:cs="Arial"/>
                <w:b/>
                <w:sz w:val="20"/>
                <w:szCs w:val="20"/>
              </w:rPr>
              <w:t>T5</w:t>
            </w:r>
          </w:p>
        </w:tc>
        <w:tc>
          <w:tcPr>
            <w:tcW w:w="788" w:type="pct"/>
            <w:tcBorders>
              <w:bottom w:val="double" w:sz="4" w:space="0" w:color="auto"/>
            </w:tcBorders>
            <w:shd w:val="clear" w:color="auto" w:fill="auto"/>
            <w:vAlign w:val="center"/>
          </w:tcPr>
          <w:p w:rsidR="009D3AC5" w:rsidRPr="00140A1C" w:rsidRDefault="009D3AC5" w:rsidP="000962B0">
            <w:pPr>
              <w:jc w:val="center"/>
              <w:rPr>
                <w:rFonts w:asciiTheme="minorHAnsi" w:hAnsiTheme="minorHAnsi" w:cs="Arial"/>
                <w:sz w:val="18"/>
                <w:szCs w:val="20"/>
              </w:rPr>
            </w:pPr>
            <w:r w:rsidRPr="00140A1C">
              <w:rPr>
                <w:rFonts w:asciiTheme="minorHAnsi" w:hAnsiTheme="minorHAnsi" w:cs="Arial"/>
                <w:sz w:val="18"/>
                <w:szCs w:val="20"/>
              </w:rPr>
              <w:t>Reposición S Reconstrucción P Rendimiento objetivo alto</w:t>
            </w:r>
          </w:p>
        </w:tc>
        <w:tc>
          <w:tcPr>
            <w:tcW w:w="578" w:type="pct"/>
            <w:tcBorders>
              <w:bottom w:val="double" w:sz="4" w:space="0" w:color="auto"/>
            </w:tcBorders>
            <w:shd w:val="clear" w:color="auto" w:fill="auto"/>
            <w:vAlign w:val="center"/>
          </w:tcPr>
          <w:p w:rsidR="009D3AC5" w:rsidRPr="00140A1C" w:rsidRDefault="000A3F0A" w:rsidP="000962B0">
            <w:pPr>
              <w:jc w:val="center"/>
              <w:rPr>
                <w:rFonts w:asciiTheme="minorHAnsi" w:hAnsiTheme="minorHAnsi" w:cs="Arial"/>
                <w:sz w:val="20"/>
                <w:szCs w:val="20"/>
              </w:rPr>
            </w:pPr>
            <w:r w:rsidRPr="00140A1C">
              <w:rPr>
                <w:rFonts w:asciiTheme="minorHAnsi" w:hAnsiTheme="minorHAnsi" w:cs="Arial"/>
                <w:sz w:val="20"/>
                <w:szCs w:val="20"/>
              </w:rPr>
              <w:t>18</w:t>
            </w:r>
          </w:p>
        </w:tc>
        <w:tc>
          <w:tcPr>
            <w:tcW w:w="578" w:type="pct"/>
            <w:tcBorders>
              <w:bottom w:val="double" w:sz="4" w:space="0" w:color="auto"/>
            </w:tcBorders>
            <w:shd w:val="clear" w:color="auto" w:fill="auto"/>
            <w:noWrap/>
            <w:vAlign w:val="center"/>
          </w:tcPr>
          <w:p w:rsidR="009D3AC5" w:rsidRPr="00140A1C" w:rsidRDefault="000A3F0A" w:rsidP="000962B0">
            <w:pPr>
              <w:jc w:val="center"/>
              <w:rPr>
                <w:rFonts w:asciiTheme="minorHAnsi" w:hAnsiTheme="minorHAnsi" w:cs="Arial"/>
                <w:sz w:val="20"/>
                <w:szCs w:val="20"/>
              </w:rPr>
            </w:pPr>
            <w:r w:rsidRPr="00140A1C">
              <w:rPr>
                <w:rFonts w:asciiTheme="minorHAnsi" w:hAnsiTheme="minorHAnsi" w:cs="Arial"/>
                <w:sz w:val="20"/>
                <w:szCs w:val="20"/>
              </w:rPr>
              <w:t>15</w:t>
            </w:r>
          </w:p>
        </w:tc>
        <w:tc>
          <w:tcPr>
            <w:tcW w:w="578" w:type="pct"/>
            <w:tcBorders>
              <w:bottom w:val="double" w:sz="4" w:space="0" w:color="auto"/>
            </w:tcBorders>
            <w:shd w:val="clear" w:color="auto" w:fill="auto"/>
            <w:noWrap/>
            <w:vAlign w:val="center"/>
          </w:tcPr>
          <w:p w:rsidR="009D3AC5" w:rsidRPr="00140A1C" w:rsidRDefault="009D3AC5" w:rsidP="009D3AC5">
            <w:pPr>
              <w:jc w:val="center"/>
              <w:rPr>
                <w:rFonts w:asciiTheme="minorHAnsi" w:hAnsiTheme="minorHAnsi" w:cs="Arial"/>
                <w:sz w:val="20"/>
                <w:szCs w:val="20"/>
              </w:rPr>
            </w:pPr>
            <w:r w:rsidRPr="00140A1C">
              <w:rPr>
                <w:rFonts w:asciiTheme="minorHAnsi" w:hAnsiTheme="minorHAnsi" w:cs="Arial"/>
                <w:sz w:val="20"/>
                <w:szCs w:val="20"/>
              </w:rPr>
              <w:t>9</w:t>
            </w:r>
          </w:p>
        </w:tc>
        <w:tc>
          <w:tcPr>
            <w:tcW w:w="578" w:type="pct"/>
            <w:tcBorders>
              <w:bottom w:val="double" w:sz="4" w:space="0" w:color="auto"/>
            </w:tcBorders>
            <w:shd w:val="clear" w:color="auto" w:fill="auto"/>
            <w:vAlign w:val="center"/>
          </w:tcPr>
          <w:p w:rsidR="009D3AC5" w:rsidRPr="00140A1C" w:rsidRDefault="009D3AC5" w:rsidP="000962B0">
            <w:pPr>
              <w:jc w:val="center"/>
              <w:rPr>
                <w:rFonts w:asciiTheme="minorHAnsi" w:hAnsiTheme="minorHAnsi" w:cs="Arial"/>
                <w:sz w:val="20"/>
                <w:szCs w:val="20"/>
              </w:rPr>
            </w:pPr>
            <w:r w:rsidRPr="00140A1C">
              <w:rPr>
                <w:rFonts w:asciiTheme="minorHAnsi" w:hAnsiTheme="minorHAnsi" w:cs="Arial"/>
                <w:sz w:val="20"/>
                <w:szCs w:val="20"/>
              </w:rPr>
              <w:t>11</w:t>
            </w:r>
          </w:p>
        </w:tc>
        <w:tc>
          <w:tcPr>
            <w:tcW w:w="578" w:type="pct"/>
            <w:tcBorders>
              <w:bottom w:val="double" w:sz="4" w:space="0" w:color="auto"/>
            </w:tcBorders>
            <w:shd w:val="clear" w:color="auto" w:fill="auto"/>
            <w:noWrap/>
            <w:vAlign w:val="center"/>
          </w:tcPr>
          <w:p w:rsidR="009D3AC5" w:rsidRPr="00140A1C" w:rsidRDefault="009D3AC5" w:rsidP="000962B0">
            <w:pPr>
              <w:jc w:val="center"/>
              <w:rPr>
                <w:rFonts w:asciiTheme="minorHAnsi" w:hAnsiTheme="minorHAnsi" w:cs="Arial"/>
                <w:sz w:val="20"/>
                <w:szCs w:val="20"/>
              </w:rPr>
            </w:pPr>
            <w:r w:rsidRPr="00140A1C">
              <w:rPr>
                <w:rFonts w:asciiTheme="minorHAnsi" w:hAnsiTheme="minorHAnsi" w:cs="Arial"/>
                <w:sz w:val="20"/>
                <w:szCs w:val="20"/>
              </w:rPr>
              <w:t>9</w:t>
            </w:r>
          </w:p>
        </w:tc>
        <w:tc>
          <w:tcPr>
            <w:tcW w:w="578" w:type="pct"/>
            <w:tcBorders>
              <w:bottom w:val="double" w:sz="4" w:space="0" w:color="auto"/>
              <w:right w:val="double" w:sz="4" w:space="0" w:color="auto"/>
            </w:tcBorders>
            <w:shd w:val="clear" w:color="auto" w:fill="auto"/>
            <w:noWrap/>
            <w:vAlign w:val="center"/>
          </w:tcPr>
          <w:p w:rsidR="009D3AC5" w:rsidRPr="00140A1C" w:rsidRDefault="009D3AC5" w:rsidP="000962B0">
            <w:pPr>
              <w:jc w:val="center"/>
              <w:rPr>
                <w:rFonts w:asciiTheme="minorHAnsi" w:hAnsiTheme="minorHAnsi" w:cs="Arial"/>
                <w:sz w:val="20"/>
                <w:szCs w:val="20"/>
              </w:rPr>
            </w:pPr>
            <w:r w:rsidRPr="00140A1C">
              <w:rPr>
                <w:rFonts w:asciiTheme="minorHAnsi" w:hAnsiTheme="minorHAnsi" w:cs="Arial"/>
                <w:sz w:val="20"/>
                <w:szCs w:val="20"/>
              </w:rPr>
              <w:t>11</w:t>
            </w:r>
          </w:p>
        </w:tc>
      </w:tr>
    </w:tbl>
    <w:p w:rsidR="0063431A" w:rsidRPr="0022296B" w:rsidRDefault="00001E98" w:rsidP="00FD706A">
      <w:pPr>
        <w:jc w:val="both"/>
        <w:rPr>
          <w:rFonts w:ascii="Arial" w:hAnsi="Arial" w:cs="Arial"/>
          <w:sz w:val="22"/>
          <w:szCs w:val="22"/>
          <w:lang w:val="es-ES_tradnl"/>
        </w:rPr>
      </w:pPr>
      <w:r w:rsidRPr="0022296B">
        <w:rPr>
          <w:rFonts w:ascii="Arial" w:hAnsi="Arial" w:cs="Arial"/>
          <w:b/>
          <w:sz w:val="22"/>
          <w:szCs w:val="22"/>
        </w:rPr>
        <w:tab/>
      </w:r>
      <w:r w:rsidRPr="0022296B">
        <w:rPr>
          <w:rFonts w:ascii="Arial" w:hAnsi="Arial" w:cs="Arial"/>
          <w:sz w:val="22"/>
          <w:szCs w:val="22"/>
          <w:lang w:val="es-ES_tradnl"/>
        </w:rPr>
        <w:t xml:space="preserve"> </w:t>
      </w:r>
    </w:p>
    <w:p w:rsidR="00001E98" w:rsidRPr="0022296B" w:rsidRDefault="00001E98" w:rsidP="00FD706A">
      <w:pPr>
        <w:rPr>
          <w:rFonts w:ascii="Arial" w:hAnsi="Arial" w:cs="Arial"/>
          <w:b/>
          <w:szCs w:val="22"/>
          <w:lang w:val="es-ES_tradnl"/>
        </w:rPr>
      </w:pPr>
      <w:r w:rsidRPr="0022296B">
        <w:rPr>
          <w:rFonts w:ascii="Arial" w:hAnsi="Arial" w:cs="Arial"/>
          <w:b/>
          <w:szCs w:val="22"/>
          <w:lang w:val="es-ES_tradnl"/>
        </w:rPr>
        <w:t>Determinaciones</w:t>
      </w:r>
      <w:r w:rsidR="00922C6D" w:rsidRPr="0022296B">
        <w:rPr>
          <w:rFonts w:ascii="Arial" w:hAnsi="Arial" w:cs="Arial"/>
          <w:b/>
          <w:szCs w:val="22"/>
          <w:lang w:val="es-ES_tradnl"/>
        </w:rPr>
        <w:t xml:space="preserve"> realizadas</w:t>
      </w:r>
    </w:p>
    <w:p w:rsidR="00001E98" w:rsidRPr="0022296B" w:rsidRDefault="00001E98" w:rsidP="00FD706A">
      <w:pPr>
        <w:rPr>
          <w:rFonts w:ascii="Arial" w:hAnsi="Arial" w:cs="Arial"/>
          <w:b/>
          <w:i/>
          <w:szCs w:val="22"/>
          <w:lang w:val="es-ES_tradnl"/>
        </w:rPr>
      </w:pPr>
      <w:r w:rsidRPr="0022296B">
        <w:rPr>
          <w:rFonts w:ascii="Arial" w:hAnsi="Arial" w:cs="Arial"/>
          <w:b/>
          <w:i/>
          <w:szCs w:val="22"/>
        </w:rPr>
        <w:t xml:space="preserve">En el suelo </w:t>
      </w:r>
    </w:p>
    <w:p w:rsidR="009133EE" w:rsidRPr="0022296B" w:rsidRDefault="00001E98" w:rsidP="00FD706A">
      <w:pPr>
        <w:jc w:val="both"/>
        <w:rPr>
          <w:rFonts w:ascii="Arial" w:hAnsi="Arial" w:cs="Arial"/>
          <w:b/>
          <w:sz w:val="22"/>
          <w:szCs w:val="22"/>
        </w:rPr>
      </w:pPr>
      <w:r w:rsidRPr="0022296B">
        <w:rPr>
          <w:rFonts w:ascii="Arial" w:hAnsi="Arial" w:cs="Arial"/>
          <w:sz w:val="22"/>
          <w:szCs w:val="22"/>
        </w:rPr>
        <w:t>Previo a la siembr</w:t>
      </w:r>
      <w:r w:rsidR="00922C6D" w:rsidRPr="0022296B">
        <w:rPr>
          <w:rFonts w:ascii="Arial" w:hAnsi="Arial" w:cs="Arial"/>
          <w:sz w:val="22"/>
          <w:szCs w:val="22"/>
        </w:rPr>
        <w:t xml:space="preserve">a </w:t>
      </w:r>
      <w:r w:rsidR="00A96627" w:rsidRPr="0022296B">
        <w:rPr>
          <w:rFonts w:ascii="Arial" w:hAnsi="Arial" w:cs="Arial"/>
          <w:sz w:val="22"/>
          <w:szCs w:val="22"/>
        </w:rPr>
        <w:t xml:space="preserve">de trigo </w:t>
      </w:r>
      <w:r w:rsidR="00922C6D" w:rsidRPr="0022296B">
        <w:rPr>
          <w:rFonts w:ascii="Arial" w:hAnsi="Arial" w:cs="Arial"/>
          <w:sz w:val="22"/>
          <w:szCs w:val="22"/>
        </w:rPr>
        <w:t>se obtuvieron</w:t>
      </w:r>
      <w:r w:rsidRPr="0022296B">
        <w:rPr>
          <w:rFonts w:ascii="Arial" w:hAnsi="Arial" w:cs="Arial"/>
          <w:sz w:val="22"/>
          <w:szCs w:val="22"/>
        </w:rPr>
        <w:t xml:space="preserve"> muestras de suelo de 0 a 20 cm. De cada </w:t>
      </w:r>
      <w:r w:rsidR="0022642B" w:rsidRPr="0022296B">
        <w:rPr>
          <w:rFonts w:ascii="Arial" w:hAnsi="Arial" w:cs="Arial"/>
          <w:sz w:val="22"/>
          <w:szCs w:val="22"/>
        </w:rPr>
        <w:t xml:space="preserve">parcela, en cada uno de los bloques, </w:t>
      </w:r>
      <w:r w:rsidRPr="0022296B">
        <w:rPr>
          <w:rFonts w:ascii="Arial" w:hAnsi="Arial" w:cs="Arial"/>
          <w:sz w:val="22"/>
          <w:szCs w:val="22"/>
        </w:rPr>
        <w:t xml:space="preserve">se </w:t>
      </w:r>
      <w:r w:rsidR="00922C6D" w:rsidRPr="0022296B">
        <w:rPr>
          <w:rFonts w:ascii="Arial" w:hAnsi="Arial" w:cs="Arial"/>
          <w:sz w:val="22"/>
          <w:szCs w:val="22"/>
        </w:rPr>
        <w:t>extrajo</w:t>
      </w:r>
      <w:r w:rsidR="004B2566" w:rsidRPr="0022296B">
        <w:rPr>
          <w:rFonts w:ascii="Arial" w:hAnsi="Arial" w:cs="Arial"/>
          <w:sz w:val="22"/>
          <w:szCs w:val="22"/>
        </w:rPr>
        <w:t xml:space="preserve"> una muestra compuesta, y sobre ella </w:t>
      </w:r>
      <w:r w:rsidRPr="0022296B">
        <w:rPr>
          <w:rFonts w:ascii="Arial" w:hAnsi="Arial" w:cs="Arial"/>
          <w:sz w:val="22"/>
          <w:szCs w:val="22"/>
        </w:rPr>
        <w:t xml:space="preserve">se </w:t>
      </w:r>
      <w:r w:rsidR="00922C6D" w:rsidRPr="0022296B">
        <w:rPr>
          <w:rFonts w:ascii="Arial" w:hAnsi="Arial" w:cs="Arial"/>
          <w:sz w:val="22"/>
          <w:szCs w:val="22"/>
        </w:rPr>
        <w:t>determinó</w:t>
      </w:r>
      <w:r w:rsidRPr="0022296B">
        <w:rPr>
          <w:rFonts w:ascii="Arial" w:hAnsi="Arial" w:cs="Arial"/>
          <w:sz w:val="22"/>
          <w:szCs w:val="22"/>
        </w:rPr>
        <w:t xml:space="preserve"> el pH y los contenidos de materia orgánica</w:t>
      </w:r>
      <w:r w:rsidR="00047B0F" w:rsidRPr="0022296B">
        <w:rPr>
          <w:rFonts w:ascii="Arial" w:hAnsi="Arial" w:cs="Arial"/>
          <w:sz w:val="22"/>
          <w:szCs w:val="22"/>
        </w:rPr>
        <w:t xml:space="preserve"> (MO)</w:t>
      </w:r>
      <w:r w:rsidR="00922C6D" w:rsidRPr="0022296B">
        <w:rPr>
          <w:rFonts w:ascii="Arial" w:hAnsi="Arial" w:cs="Arial"/>
          <w:sz w:val="22"/>
          <w:szCs w:val="22"/>
        </w:rPr>
        <w:t>,</w:t>
      </w:r>
      <w:r w:rsidR="00047B0F" w:rsidRPr="0022296B">
        <w:rPr>
          <w:rFonts w:ascii="Arial" w:hAnsi="Arial" w:cs="Arial"/>
          <w:sz w:val="22"/>
          <w:szCs w:val="22"/>
        </w:rPr>
        <w:t xml:space="preserve"> P </w:t>
      </w:r>
      <w:r w:rsidR="00FD706A" w:rsidRPr="0022296B">
        <w:rPr>
          <w:rFonts w:ascii="Arial" w:hAnsi="Arial" w:cs="Arial"/>
          <w:sz w:val="22"/>
          <w:szCs w:val="22"/>
        </w:rPr>
        <w:t xml:space="preserve">extractable </w:t>
      </w:r>
      <w:r w:rsidRPr="0022296B">
        <w:rPr>
          <w:rFonts w:ascii="Arial" w:hAnsi="Arial" w:cs="Arial"/>
          <w:sz w:val="22"/>
          <w:szCs w:val="22"/>
        </w:rPr>
        <w:t>(</w:t>
      </w:r>
      <w:proofErr w:type="spellStart"/>
      <w:r w:rsidRPr="0022296B">
        <w:rPr>
          <w:rFonts w:ascii="Arial" w:hAnsi="Arial" w:cs="Arial"/>
          <w:sz w:val="22"/>
          <w:szCs w:val="22"/>
        </w:rPr>
        <w:t>Bray</w:t>
      </w:r>
      <w:proofErr w:type="spellEnd"/>
      <w:r w:rsidRPr="0022296B">
        <w:rPr>
          <w:rFonts w:ascii="Arial" w:hAnsi="Arial" w:cs="Arial"/>
          <w:sz w:val="22"/>
          <w:szCs w:val="22"/>
        </w:rPr>
        <w:t xml:space="preserve"> I)</w:t>
      </w:r>
      <w:r w:rsidR="0022642B" w:rsidRPr="0022296B">
        <w:rPr>
          <w:rFonts w:ascii="Arial" w:hAnsi="Arial" w:cs="Arial"/>
          <w:sz w:val="22"/>
          <w:szCs w:val="22"/>
        </w:rPr>
        <w:t xml:space="preserve">, N total, </w:t>
      </w:r>
      <w:r w:rsidR="00047B0F" w:rsidRPr="0022296B">
        <w:rPr>
          <w:rFonts w:ascii="Arial" w:hAnsi="Arial" w:cs="Arial"/>
          <w:sz w:val="22"/>
          <w:szCs w:val="22"/>
        </w:rPr>
        <w:t>N-</w:t>
      </w:r>
      <w:r w:rsidRPr="0022296B">
        <w:rPr>
          <w:rFonts w:ascii="Arial" w:hAnsi="Arial" w:cs="Arial"/>
          <w:sz w:val="22"/>
          <w:szCs w:val="22"/>
        </w:rPr>
        <w:t xml:space="preserve">nitrato </w:t>
      </w:r>
      <w:r w:rsidR="00922C6D" w:rsidRPr="0022296B">
        <w:rPr>
          <w:rFonts w:ascii="Arial" w:hAnsi="Arial" w:cs="Arial"/>
          <w:sz w:val="22"/>
          <w:szCs w:val="22"/>
        </w:rPr>
        <w:t xml:space="preserve">y </w:t>
      </w:r>
      <w:r w:rsidR="00047B0F" w:rsidRPr="0022296B">
        <w:rPr>
          <w:rFonts w:ascii="Arial" w:hAnsi="Arial" w:cs="Arial"/>
          <w:sz w:val="22"/>
          <w:szCs w:val="22"/>
        </w:rPr>
        <w:t>S-</w:t>
      </w:r>
      <w:r w:rsidR="00922C6D" w:rsidRPr="0022296B">
        <w:rPr>
          <w:rFonts w:ascii="Arial" w:hAnsi="Arial" w:cs="Arial"/>
          <w:sz w:val="22"/>
          <w:szCs w:val="22"/>
        </w:rPr>
        <w:t>sulfato</w:t>
      </w:r>
      <w:r w:rsidR="0022642B" w:rsidRPr="0022296B">
        <w:rPr>
          <w:rFonts w:ascii="Arial" w:hAnsi="Arial" w:cs="Arial"/>
          <w:sz w:val="22"/>
          <w:szCs w:val="22"/>
        </w:rPr>
        <w:t>.</w:t>
      </w:r>
    </w:p>
    <w:p w:rsidR="00001E98" w:rsidRPr="0022296B" w:rsidRDefault="00001E98" w:rsidP="00FD706A">
      <w:pPr>
        <w:jc w:val="both"/>
        <w:rPr>
          <w:rFonts w:ascii="Arial" w:hAnsi="Arial" w:cs="Arial"/>
          <w:sz w:val="22"/>
          <w:szCs w:val="22"/>
        </w:rPr>
      </w:pPr>
    </w:p>
    <w:p w:rsidR="00001E98" w:rsidRPr="0022296B" w:rsidRDefault="00001E98" w:rsidP="00FD706A">
      <w:pPr>
        <w:keepNext/>
        <w:jc w:val="both"/>
        <w:rPr>
          <w:rFonts w:ascii="Arial" w:hAnsi="Arial" w:cs="Arial"/>
          <w:b/>
          <w:i/>
          <w:szCs w:val="22"/>
        </w:rPr>
      </w:pPr>
      <w:r w:rsidRPr="0022296B">
        <w:rPr>
          <w:rFonts w:ascii="Arial" w:hAnsi="Arial" w:cs="Arial"/>
          <w:b/>
          <w:i/>
          <w:szCs w:val="22"/>
        </w:rPr>
        <w:t>En el cultivo</w:t>
      </w:r>
    </w:p>
    <w:p w:rsidR="009133EE" w:rsidRPr="0022296B" w:rsidRDefault="00077F78" w:rsidP="00FD706A">
      <w:pPr>
        <w:jc w:val="both"/>
        <w:rPr>
          <w:rFonts w:ascii="Arial" w:hAnsi="Arial" w:cs="Arial"/>
          <w:sz w:val="22"/>
          <w:szCs w:val="22"/>
          <w:lang w:val="es-ES_tradnl"/>
        </w:rPr>
      </w:pPr>
      <w:r w:rsidRPr="0022296B">
        <w:rPr>
          <w:rFonts w:ascii="Arial" w:hAnsi="Arial" w:cs="Arial"/>
          <w:sz w:val="22"/>
          <w:szCs w:val="22"/>
          <w:lang w:val="es-ES_tradnl"/>
        </w:rPr>
        <w:t>A</w:t>
      </w:r>
      <w:r w:rsidR="00922C6D" w:rsidRPr="0022296B">
        <w:rPr>
          <w:rFonts w:ascii="Arial" w:hAnsi="Arial" w:cs="Arial"/>
          <w:sz w:val="22"/>
          <w:szCs w:val="22"/>
          <w:lang w:val="es-ES_tradnl"/>
        </w:rPr>
        <w:t xml:space="preserve"> c</w:t>
      </w:r>
      <w:r w:rsidRPr="0022296B">
        <w:rPr>
          <w:rFonts w:ascii="Arial" w:hAnsi="Arial" w:cs="Arial"/>
          <w:sz w:val="22"/>
          <w:szCs w:val="22"/>
          <w:lang w:val="es-ES_tradnl"/>
        </w:rPr>
        <w:t xml:space="preserve">osecha se </w:t>
      </w:r>
      <w:r w:rsidR="00A96627" w:rsidRPr="0022296B">
        <w:rPr>
          <w:rFonts w:ascii="Arial" w:hAnsi="Arial" w:cs="Arial"/>
          <w:sz w:val="22"/>
          <w:szCs w:val="22"/>
          <w:lang w:val="es-ES_tradnl"/>
        </w:rPr>
        <w:t>evalúan</w:t>
      </w:r>
      <w:r w:rsidRPr="0022296B">
        <w:rPr>
          <w:rFonts w:ascii="Arial" w:hAnsi="Arial" w:cs="Arial"/>
          <w:sz w:val="22"/>
          <w:szCs w:val="22"/>
          <w:lang w:val="es-ES_tradnl"/>
        </w:rPr>
        <w:t xml:space="preserve"> el rendimiento </w:t>
      </w:r>
      <w:r w:rsidR="00A96627" w:rsidRPr="0022296B">
        <w:rPr>
          <w:rFonts w:ascii="Arial" w:hAnsi="Arial" w:cs="Arial"/>
          <w:sz w:val="22"/>
          <w:szCs w:val="22"/>
          <w:lang w:val="es-ES_tradnl"/>
        </w:rPr>
        <w:t xml:space="preserve">de los cultivos </w:t>
      </w:r>
      <w:r w:rsidRPr="0022296B">
        <w:rPr>
          <w:rFonts w:ascii="Arial" w:hAnsi="Arial" w:cs="Arial"/>
          <w:sz w:val="22"/>
          <w:szCs w:val="22"/>
          <w:lang w:val="es-ES_tradnl"/>
        </w:rPr>
        <w:t>y sus componentes, número y peso de los granos.</w:t>
      </w:r>
      <w:r w:rsidR="00922C6D" w:rsidRPr="0022296B">
        <w:rPr>
          <w:rFonts w:ascii="Arial" w:hAnsi="Arial" w:cs="Arial"/>
          <w:sz w:val="22"/>
          <w:szCs w:val="22"/>
          <w:lang w:val="es-ES_tradnl"/>
        </w:rPr>
        <w:t xml:space="preserve"> </w:t>
      </w:r>
      <w:r w:rsidR="0031374B" w:rsidRPr="0022296B">
        <w:rPr>
          <w:rFonts w:ascii="Arial" w:hAnsi="Arial" w:cs="Arial"/>
          <w:sz w:val="22"/>
          <w:szCs w:val="22"/>
          <w:lang w:val="es-ES_tradnl"/>
        </w:rPr>
        <w:t xml:space="preserve">En </w:t>
      </w:r>
      <w:r w:rsidR="00001E98" w:rsidRPr="0022296B">
        <w:rPr>
          <w:rFonts w:ascii="Arial" w:hAnsi="Arial" w:cs="Arial"/>
          <w:sz w:val="22"/>
          <w:szCs w:val="22"/>
          <w:lang w:val="es-ES_tradnl"/>
        </w:rPr>
        <w:t xml:space="preserve">una muestra </w:t>
      </w:r>
      <w:r w:rsidR="0031374B" w:rsidRPr="0022296B">
        <w:rPr>
          <w:rFonts w:ascii="Arial" w:hAnsi="Arial" w:cs="Arial"/>
          <w:sz w:val="22"/>
          <w:szCs w:val="22"/>
          <w:lang w:val="es-ES_tradnl"/>
        </w:rPr>
        <w:t>de grano</w:t>
      </w:r>
      <w:r w:rsidR="009133EE" w:rsidRPr="0022296B">
        <w:rPr>
          <w:rFonts w:ascii="Arial" w:hAnsi="Arial" w:cs="Arial"/>
          <w:sz w:val="22"/>
          <w:szCs w:val="22"/>
          <w:lang w:val="es-ES_tradnl"/>
        </w:rPr>
        <w:t xml:space="preserve"> </w:t>
      </w:r>
      <w:r w:rsidR="002A00B2" w:rsidRPr="0022296B">
        <w:rPr>
          <w:rFonts w:ascii="Arial" w:hAnsi="Arial" w:cs="Arial"/>
          <w:sz w:val="22"/>
          <w:szCs w:val="22"/>
          <w:lang w:val="es-ES_tradnl"/>
        </w:rPr>
        <w:t xml:space="preserve">de cada parcela </w:t>
      </w:r>
      <w:r w:rsidR="009133EE" w:rsidRPr="0022296B">
        <w:rPr>
          <w:rFonts w:ascii="Arial" w:hAnsi="Arial" w:cs="Arial"/>
          <w:sz w:val="22"/>
          <w:szCs w:val="22"/>
          <w:lang w:val="es-ES_tradnl"/>
        </w:rPr>
        <w:t xml:space="preserve">se </w:t>
      </w:r>
      <w:r w:rsidR="00922C6D" w:rsidRPr="0022296B">
        <w:rPr>
          <w:rFonts w:ascii="Arial" w:hAnsi="Arial" w:cs="Arial"/>
          <w:sz w:val="22"/>
          <w:szCs w:val="22"/>
          <w:lang w:val="es-ES_tradnl"/>
        </w:rPr>
        <w:t xml:space="preserve">cuantificó </w:t>
      </w:r>
      <w:r w:rsidR="009133EE" w:rsidRPr="0022296B">
        <w:rPr>
          <w:rFonts w:ascii="Arial" w:hAnsi="Arial" w:cs="Arial"/>
          <w:sz w:val="22"/>
          <w:szCs w:val="22"/>
          <w:lang w:val="es-ES_tradnl"/>
        </w:rPr>
        <w:t>el contenido de N, P y S</w:t>
      </w:r>
      <w:r w:rsidR="0031374B" w:rsidRPr="0022296B">
        <w:rPr>
          <w:rFonts w:ascii="Arial" w:hAnsi="Arial" w:cs="Arial"/>
          <w:sz w:val="22"/>
          <w:szCs w:val="22"/>
          <w:lang w:val="es-ES_tradnl"/>
        </w:rPr>
        <w:t>.</w:t>
      </w:r>
      <w:r w:rsidR="00922C6D" w:rsidRPr="0022296B">
        <w:rPr>
          <w:rFonts w:ascii="Arial" w:hAnsi="Arial" w:cs="Arial"/>
          <w:sz w:val="22"/>
          <w:szCs w:val="22"/>
          <w:lang w:val="es-ES_tradnl"/>
        </w:rPr>
        <w:t xml:space="preserve"> Con los datos de rendimiento, concentración de nutrientes en grano y dosis aplicada de los mismos se realizó un balance de nutrientes.</w:t>
      </w:r>
    </w:p>
    <w:p w:rsidR="00F34D9A" w:rsidRPr="0022296B" w:rsidRDefault="00F34D9A" w:rsidP="00FD706A">
      <w:pPr>
        <w:keepNext/>
        <w:jc w:val="both"/>
        <w:rPr>
          <w:rFonts w:ascii="Arial" w:hAnsi="Arial" w:cs="Arial"/>
          <w:b/>
          <w:sz w:val="22"/>
          <w:szCs w:val="22"/>
        </w:rPr>
      </w:pPr>
    </w:p>
    <w:p w:rsidR="00922C6D" w:rsidRPr="0022296B" w:rsidRDefault="0022296B" w:rsidP="00FD706A">
      <w:pPr>
        <w:keepNext/>
        <w:jc w:val="both"/>
        <w:rPr>
          <w:rFonts w:ascii="Arial" w:hAnsi="Arial" w:cs="Arial"/>
          <w:b/>
          <w:szCs w:val="22"/>
        </w:rPr>
      </w:pPr>
      <w:r w:rsidRPr="0022296B">
        <w:rPr>
          <w:rFonts w:ascii="Arial" w:hAnsi="Arial" w:cs="Arial"/>
          <w:b/>
          <w:szCs w:val="22"/>
        </w:rPr>
        <w:t>RESULTADOS Y DISCUSIÓN</w:t>
      </w:r>
    </w:p>
    <w:p w:rsidR="00787136" w:rsidRPr="0022296B" w:rsidRDefault="004F5FE9" w:rsidP="00FD706A">
      <w:pPr>
        <w:jc w:val="both"/>
        <w:rPr>
          <w:rFonts w:ascii="Arial" w:hAnsi="Arial" w:cs="Arial"/>
          <w:b/>
          <w:szCs w:val="22"/>
          <w:lang w:val="es-ES_tradnl"/>
        </w:rPr>
      </w:pPr>
      <w:r w:rsidRPr="0022296B">
        <w:rPr>
          <w:rFonts w:ascii="Arial" w:hAnsi="Arial" w:cs="Arial"/>
          <w:b/>
          <w:szCs w:val="22"/>
          <w:lang w:val="es-ES_tradnl"/>
        </w:rPr>
        <w:t>A</w:t>
      </w:r>
      <w:r w:rsidR="00787136" w:rsidRPr="0022296B">
        <w:rPr>
          <w:rFonts w:ascii="Arial" w:hAnsi="Arial" w:cs="Arial"/>
          <w:b/>
          <w:szCs w:val="22"/>
          <w:lang w:val="es-ES_tradnl"/>
        </w:rPr>
        <w:t xml:space="preserve">. </w:t>
      </w:r>
      <w:r w:rsidRPr="0022296B">
        <w:rPr>
          <w:rFonts w:ascii="Arial" w:hAnsi="Arial" w:cs="Arial"/>
          <w:b/>
          <w:szCs w:val="22"/>
          <w:lang w:val="es-ES_tradnl"/>
        </w:rPr>
        <w:t>Efectos sobre los rendimientos a</w:t>
      </w:r>
      <w:r w:rsidR="001232D5">
        <w:rPr>
          <w:rFonts w:ascii="Arial" w:hAnsi="Arial" w:cs="Arial"/>
          <w:b/>
          <w:szCs w:val="22"/>
          <w:lang w:val="es-ES_tradnl"/>
        </w:rPr>
        <w:t>nuales</w:t>
      </w:r>
      <w:r w:rsidRPr="0022296B">
        <w:rPr>
          <w:rFonts w:ascii="Arial" w:hAnsi="Arial" w:cs="Arial"/>
          <w:b/>
          <w:szCs w:val="22"/>
          <w:lang w:val="es-ES_tradnl"/>
        </w:rPr>
        <w:t xml:space="preserve">. </w:t>
      </w:r>
    </w:p>
    <w:p w:rsidR="00725716" w:rsidRPr="0022296B" w:rsidRDefault="00877F94" w:rsidP="00FD706A">
      <w:pPr>
        <w:jc w:val="both"/>
        <w:rPr>
          <w:rFonts w:ascii="Arial" w:hAnsi="Arial" w:cs="Arial"/>
          <w:sz w:val="22"/>
          <w:szCs w:val="22"/>
          <w:lang w:val="es-ES_tradnl"/>
        </w:rPr>
      </w:pPr>
      <w:r>
        <w:rPr>
          <w:rFonts w:ascii="Arial" w:hAnsi="Arial" w:cs="Arial"/>
          <w:sz w:val="22"/>
          <w:szCs w:val="22"/>
          <w:lang w:val="es-ES_tradnl"/>
        </w:rPr>
        <w:t>Anualmente, s</w:t>
      </w:r>
      <w:r w:rsidR="00EB6F55" w:rsidRPr="0022296B">
        <w:rPr>
          <w:rFonts w:ascii="Arial" w:hAnsi="Arial" w:cs="Arial"/>
          <w:sz w:val="22"/>
          <w:szCs w:val="22"/>
          <w:lang w:val="es-ES_tradnl"/>
        </w:rPr>
        <w:t>e</w:t>
      </w:r>
      <w:r w:rsidR="00754E36" w:rsidRPr="0022296B">
        <w:rPr>
          <w:rFonts w:ascii="Arial" w:hAnsi="Arial" w:cs="Arial"/>
          <w:sz w:val="22"/>
          <w:szCs w:val="22"/>
          <w:lang w:val="es-ES_tradnl"/>
        </w:rPr>
        <w:t xml:space="preserve"> determinaron diferencias significativas en los rendimientos </w:t>
      </w:r>
      <w:r w:rsidR="00F1162D">
        <w:rPr>
          <w:rFonts w:ascii="Arial" w:hAnsi="Arial" w:cs="Arial"/>
          <w:sz w:val="22"/>
          <w:szCs w:val="22"/>
          <w:lang w:val="es-ES_tradnl"/>
        </w:rPr>
        <w:t xml:space="preserve">de </w:t>
      </w:r>
      <w:r>
        <w:rPr>
          <w:rFonts w:ascii="Arial" w:hAnsi="Arial" w:cs="Arial"/>
          <w:sz w:val="22"/>
          <w:szCs w:val="22"/>
          <w:lang w:val="es-ES_tradnl"/>
        </w:rPr>
        <w:t xml:space="preserve">al menos un cultivo </w:t>
      </w:r>
      <w:r w:rsidR="00F1162D">
        <w:rPr>
          <w:rFonts w:ascii="Arial" w:hAnsi="Arial" w:cs="Arial"/>
          <w:sz w:val="22"/>
          <w:szCs w:val="22"/>
          <w:lang w:val="es-ES_tradnl"/>
        </w:rPr>
        <w:t>entre 2006/07 y 201</w:t>
      </w:r>
      <w:r w:rsidR="008714D1">
        <w:rPr>
          <w:rFonts w:ascii="Arial" w:hAnsi="Arial" w:cs="Arial"/>
          <w:sz w:val="22"/>
          <w:szCs w:val="22"/>
          <w:lang w:val="es-ES_tradnl"/>
        </w:rPr>
        <w:t>9/20</w:t>
      </w:r>
      <w:r w:rsidR="00F1162D">
        <w:rPr>
          <w:rFonts w:ascii="Arial" w:hAnsi="Arial" w:cs="Arial"/>
          <w:sz w:val="22"/>
          <w:szCs w:val="22"/>
          <w:lang w:val="es-ES_tradnl"/>
        </w:rPr>
        <w:t xml:space="preserve"> (Figura 1). En el Maíz de 2006/07 los rendimientos máximos se alcanzaron por T4 y T5, los que a su vez superaron a T3, este a T2, y </w:t>
      </w:r>
      <w:r w:rsidR="005E1DE2">
        <w:rPr>
          <w:rFonts w:ascii="Arial" w:hAnsi="Arial" w:cs="Arial"/>
          <w:sz w:val="22"/>
          <w:szCs w:val="22"/>
          <w:lang w:val="es-ES_tradnl"/>
        </w:rPr>
        <w:t xml:space="preserve">a la vez </w:t>
      </w:r>
      <w:r w:rsidR="00F1162D">
        <w:rPr>
          <w:rFonts w:ascii="Arial" w:hAnsi="Arial" w:cs="Arial"/>
          <w:sz w:val="22"/>
          <w:szCs w:val="22"/>
          <w:lang w:val="es-ES_tradnl"/>
        </w:rPr>
        <w:t>este a T1, respectivamente</w:t>
      </w:r>
      <w:r w:rsidR="00CB4C79">
        <w:rPr>
          <w:rFonts w:ascii="Arial" w:hAnsi="Arial" w:cs="Arial"/>
          <w:sz w:val="22"/>
          <w:szCs w:val="22"/>
          <w:lang w:val="es-ES_tradnl"/>
        </w:rPr>
        <w:t xml:space="preserve"> (Figura 1.a)</w:t>
      </w:r>
      <w:r w:rsidR="00F1162D">
        <w:rPr>
          <w:rFonts w:ascii="Arial" w:hAnsi="Arial" w:cs="Arial"/>
          <w:sz w:val="22"/>
          <w:szCs w:val="22"/>
          <w:lang w:val="es-ES_tradnl"/>
        </w:rPr>
        <w:t>. En 2007/08 los rendimientos máximos fueron en T5, superando a T2, T3 y T4, y estos a T1</w:t>
      </w:r>
      <w:r w:rsidR="00CB4C79">
        <w:rPr>
          <w:rFonts w:ascii="Arial" w:hAnsi="Arial" w:cs="Arial"/>
          <w:sz w:val="22"/>
          <w:szCs w:val="22"/>
          <w:lang w:val="es-ES_tradnl"/>
        </w:rPr>
        <w:t xml:space="preserve"> (Figura 1.b)</w:t>
      </w:r>
      <w:r w:rsidR="00F1162D">
        <w:rPr>
          <w:rFonts w:ascii="Arial" w:hAnsi="Arial" w:cs="Arial"/>
          <w:sz w:val="22"/>
          <w:szCs w:val="22"/>
          <w:lang w:val="es-ES_tradnl"/>
        </w:rPr>
        <w:t xml:space="preserve">. </w:t>
      </w:r>
      <w:r w:rsidR="0004484E">
        <w:rPr>
          <w:rFonts w:ascii="Arial" w:hAnsi="Arial" w:cs="Arial"/>
          <w:sz w:val="22"/>
          <w:szCs w:val="22"/>
          <w:lang w:val="es-ES_tradnl"/>
        </w:rPr>
        <w:t xml:space="preserve">En el </w:t>
      </w:r>
      <w:r w:rsidR="00CB4C79">
        <w:rPr>
          <w:rFonts w:ascii="Arial" w:hAnsi="Arial" w:cs="Arial"/>
          <w:sz w:val="22"/>
          <w:szCs w:val="22"/>
          <w:lang w:val="es-ES_tradnl"/>
        </w:rPr>
        <w:t xml:space="preserve">ciclo siguiente, los cultivos estuvieron afectados por una fuerte sequía. En </w:t>
      </w:r>
      <w:r w:rsidR="004D08B5" w:rsidRPr="0022296B">
        <w:rPr>
          <w:rFonts w:ascii="Arial" w:hAnsi="Arial" w:cs="Arial"/>
          <w:sz w:val="22"/>
          <w:szCs w:val="22"/>
          <w:lang w:val="es-ES_tradnl"/>
        </w:rPr>
        <w:t>trigo</w:t>
      </w:r>
      <w:r w:rsidR="00CB4C79">
        <w:rPr>
          <w:rFonts w:ascii="Arial" w:hAnsi="Arial" w:cs="Arial"/>
          <w:sz w:val="22"/>
          <w:szCs w:val="22"/>
          <w:lang w:val="es-ES_tradnl"/>
        </w:rPr>
        <w:t>, todos los tratamientos superaron al testigo, con el rendimiento máximo en T5.</w:t>
      </w:r>
      <w:r w:rsidR="00D34200" w:rsidRPr="00D34200">
        <w:rPr>
          <w:rFonts w:ascii="Arial" w:hAnsi="Arial" w:cs="Arial"/>
          <w:sz w:val="22"/>
          <w:szCs w:val="22"/>
          <w:lang w:val="es-ES_tradnl"/>
        </w:rPr>
        <w:t xml:space="preserve"> </w:t>
      </w:r>
      <w:r w:rsidR="00D34200">
        <w:rPr>
          <w:rFonts w:ascii="Arial" w:hAnsi="Arial" w:cs="Arial"/>
          <w:sz w:val="22"/>
          <w:szCs w:val="22"/>
          <w:lang w:val="es-ES_tradnl"/>
        </w:rPr>
        <w:t xml:space="preserve">Los tratamientos de mayor </w:t>
      </w:r>
      <w:r w:rsidR="00D34200">
        <w:rPr>
          <w:rFonts w:ascii="Arial" w:hAnsi="Arial" w:cs="Arial"/>
          <w:sz w:val="22"/>
          <w:szCs w:val="22"/>
          <w:lang w:val="es-ES_tradnl"/>
        </w:rPr>
        <w:lastRenderedPageBreak/>
        <w:t>fertilización permitieron leves mejoras en la concentración de proteína en grano.</w:t>
      </w:r>
      <w:r w:rsidR="00CB4C79">
        <w:rPr>
          <w:rFonts w:ascii="Arial" w:hAnsi="Arial" w:cs="Arial"/>
          <w:sz w:val="22"/>
          <w:szCs w:val="22"/>
          <w:lang w:val="es-ES_tradnl"/>
        </w:rPr>
        <w:t xml:space="preserve"> En la soja  de segunda subsiguiente,</w:t>
      </w:r>
      <w:r w:rsidR="00D34200">
        <w:rPr>
          <w:rFonts w:ascii="Arial" w:hAnsi="Arial" w:cs="Arial"/>
          <w:sz w:val="22"/>
          <w:szCs w:val="22"/>
          <w:lang w:val="es-ES_tradnl"/>
        </w:rPr>
        <w:t xml:space="preserve"> T4 y T5 superaron a los tratamientos T1 y T2 (Figura 1.c).</w:t>
      </w:r>
      <w:r w:rsidR="00CB4C79">
        <w:rPr>
          <w:rFonts w:ascii="Arial" w:hAnsi="Arial" w:cs="Arial"/>
          <w:sz w:val="22"/>
          <w:szCs w:val="22"/>
          <w:lang w:val="es-ES_tradnl"/>
        </w:rPr>
        <w:t xml:space="preserve"> </w:t>
      </w:r>
      <w:r w:rsidR="00D34200">
        <w:rPr>
          <w:rFonts w:ascii="Arial" w:hAnsi="Arial" w:cs="Arial"/>
          <w:sz w:val="22"/>
          <w:szCs w:val="22"/>
          <w:lang w:val="es-ES_tradnl"/>
        </w:rPr>
        <w:t xml:space="preserve">En </w:t>
      </w:r>
      <w:r w:rsidR="00B165C0" w:rsidRPr="0022296B">
        <w:rPr>
          <w:rFonts w:ascii="Arial" w:hAnsi="Arial" w:cs="Arial"/>
          <w:sz w:val="22"/>
          <w:szCs w:val="22"/>
          <w:lang w:val="es-ES_tradnl"/>
        </w:rPr>
        <w:t xml:space="preserve"> </w:t>
      </w:r>
      <w:r w:rsidR="00D34200">
        <w:rPr>
          <w:rFonts w:ascii="Arial" w:hAnsi="Arial" w:cs="Arial"/>
          <w:sz w:val="22"/>
          <w:szCs w:val="22"/>
          <w:lang w:val="es-ES_tradnl"/>
        </w:rPr>
        <w:t>el ciclo 2009/10 no se determinaron diferencias significativas en los rendimientos de cebada (P&gt;0,10), pero sí en soja de segunda, con el tratamientos T4 por encima de T2 y T5. A su vez, T4 y T3 superaron a T1 (Figura 1.d). El comienzo de un nuevo ciclo de rotación en 2010/11 trajo rendimientos de maíz máximos en T3, T4 y T5, estos a su vez superaron a T2, y éstos a T1</w:t>
      </w:r>
      <w:r w:rsidR="000C0CD5">
        <w:rPr>
          <w:rFonts w:ascii="Arial" w:hAnsi="Arial" w:cs="Arial"/>
          <w:sz w:val="22"/>
          <w:szCs w:val="22"/>
          <w:lang w:val="es-ES_tradnl"/>
        </w:rPr>
        <w:t xml:space="preserve"> (Figura 1.e)</w:t>
      </w:r>
      <w:r w:rsidR="00D34200">
        <w:rPr>
          <w:rFonts w:ascii="Arial" w:hAnsi="Arial" w:cs="Arial"/>
          <w:sz w:val="22"/>
          <w:szCs w:val="22"/>
          <w:lang w:val="es-ES_tradnl"/>
        </w:rPr>
        <w:t xml:space="preserve">. </w:t>
      </w:r>
      <w:r w:rsidR="000C0CD5">
        <w:rPr>
          <w:rFonts w:ascii="Arial" w:hAnsi="Arial" w:cs="Arial"/>
          <w:sz w:val="22"/>
          <w:szCs w:val="22"/>
          <w:lang w:val="es-ES_tradnl"/>
        </w:rPr>
        <w:t xml:space="preserve">Un resultado similar se determinó en 2011/12, donde todos los tratamientos superaron a T1 (Figura 1.f). En la cebada de la campaña 2012/13, nuevamente todos los tratamientos superaron a T1, sin cambios significativos en el % de proteína. Las diferencias fueron más marcadas en soja de </w:t>
      </w:r>
      <w:r w:rsidR="00BC0FC6">
        <w:rPr>
          <w:rFonts w:ascii="Arial" w:hAnsi="Arial" w:cs="Arial"/>
          <w:sz w:val="22"/>
          <w:szCs w:val="22"/>
          <w:lang w:val="es-ES_tradnl"/>
        </w:rPr>
        <w:t>segunda</w:t>
      </w:r>
      <w:r w:rsidR="000C0CD5">
        <w:rPr>
          <w:rFonts w:ascii="Arial" w:hAnsi="Arial" w:cs="Arial"/>
          <w:sz w:val="22"/>
          <w:szCs w:val="22"/>
          <w:lang w:val="es-ES_tradnl"/>
        </w:rPr>
        <w:t xml:space="preserve">, </w:t>
      </w:r>
      <w:r w:rsidR="00245F81">
        <w:rPr>
          <w:rFonts w:ascii="Arial" w:hAnsi="Arial" w:cs="Arial"/>
          <w:sz w:val="22"/>
          <w:szCs w:val="22"/>
          <w:lang w:val="es-ES_tradnl"/>
        </w:rPr>
        <w:t>donde T3, T4 y T5 alcanzaron rendimientos significativamente superiores a T2, y éstos a los de T1</w:t>
      </w:r>
      <w:r w:rsidR="00D34200">
        <w:rPr>
          <w:rFonts w:ascii="Arial" w:hAnsi="Arial" w:cs="Arial"/>
          <w:sz w:val="22"/>
          <w:szCs w:val="22"/>
          <w:lang w:val="es-ES_tradnl"/>
        </w:rPr>
        <w:t xml:space="preserve"> </w:t>
      </w:r>
      <w:r w:rsidR="00245F81">
        <w:rPr>
          <w:rFonts w:ascii="Arial" w:hAnsi="Arial" w:cs="Arial"/>
          <w:sz w:val="22"/>
          <w:szCs w:val="22"/>
          <w:lang w:val="es-ES_tradnl"/>
        </w:rPr>
        <w:t xml:space="preserve">(Figura 1.g). </w:t>
      </w:r>
      <w:r w:rsidR="00201B51">
        <w:rPr>
          <w:rFonts w:ascii="Arial" w:hAnsi="Arial" w:cs="Arial"/>
          <w:sz w:val="22"/>
          <w:szCs w:val="22"/>
          <w:lang w:val="es-ES_tradnl"/>
        </w:rPr>
        <w:t>E</w:t>
      </w:r>
      <w:r w:rsidR="00245F81">
        <w:rPr>
          <w:rFonts w:ascii="Arial" w:hAnsi="Arial" w:cs="Arial"/>
          <w:sz w:val="22"/>
          <w:szCs w:val="22"/>
          <w:lang w:val="es-ES_tradnl"/>
        </w:rPr>
        <w:t>l Trigo de 2013/14 mostró rendimientos superiores en T5 vs T3, en T4 y T5 vs T2, y en T3, T4 y T5 vs T1, con una significativa ganancia de proteína.</w:t>
      </w:r>
      <w:r w:rsidR="00BC0FC6">
        <w:rPr>
          <w:rFonts w:ascii="Arial" w:hAnsi="Arial" w:cs="Arial"/>
          <w:sz w:val="22"/>
          <w:szCs w:val="22"/>
          <w:lang w:val="es-ES_tradnl"/>
        </w:rPr>
        <w:t xml:space="preserve"> En soja de segunda, T3, T4 y T5 superaron a T1 (Figura 1.h). </w:t>
      </w:r>
      <w:r w:rsidR="003D1202">
        <w:rPr>
          <w:rFonts w:ascii="Arial" w:hAnsi="Arial" w:cs="Arial"/>
          <w:sz w:val="22"/>
          <w:szCs w:val="22"/>
          <w:lang w:val="es-ES_tradnl"/>
        </w:rPr>
        <w:t xml:space="preserve">La </w:t>
      </w:r>
      <w:r w:rsidR="00201B51">
        <w:rPr>
          <w:rFonts w:ascii="Arial" w:hAnsi="Arial" w:cs="Arial"/>
          <w:sz w:val="22"/>
          <w:szCs w:val="22"/>
          <w:lang w:val="es-ES_tradnl"/>
        </w:rPr>
        <w:t xml:space="preserve"> soja de primera del ciclo</w:t>
      </w:r>
      <w:r w:rsidR="00140A1C">
        <w:rPr>
          <w:rFonts w:ascii="Arial" w:hAnsi="Arial" w:cs="Arial"/>
          <w:sz w:val="22"/>
          <w:szCs w:val="22"/>
          <w:lang w:val="es-ES_tradnl"/>
        </w:rPr>
        <w:t xml:space="preserve"> 201</w:t>
      </w:r>
      <w:r w:rsidR="003D1202">
        <w:rPr>
          <w:rFonts w:ascii="Arial" w:hAnsi="Arial" w:cs="Arial"/>
          <w:sz w:val="22"/>
          <w:szCs w:val="22"/>
          <w:lang w:val="es-ES_tradnl"/>
        </w:rPr>
        <w:t>4</w:t>
      </w:r>
      <w:r w:rsidR="00140A1C">
        <w:rPr>
          <w:rFonts w:ascii="Arial" w:hAnsi="Arial" w:cs="Arial"/>
          <w:sz w:val="22"/>
          <w:szCs w:val="22"/>
          <w:lang w:val="es-ES_tradnl"/>
        </w:rPr>
        <w:t>/1</w:t>
      </w:r>
      <w:r w:rsidR="00F47B83">
        <w:rPr>
          <w:rFonts w:ascii="Arial" w:hAnsi="Arial" w:cs="Arial"/>
          <w:sz w:val="22"/>
          <w:szCs w:val="22"/>
          <w:lang w:val="es-ES_tradnl"/>
        </w:rPr>
        <w:t>5</w:t>
      </w:r>
      <w:r w:rsidR="00201B51">
        <w:rPr>
          <w:rFonts w:ascii="Arial" w:hAnsi="Arial" w:cs="Arial"/>
          <w:sz w:val="22"/>
          <w:szCs w:val="22"/>
          <w:lang w:val="es-ES_tradnl"/>
        </w:rPr>
        <w:t xml:space="preserve"> alcanzó rendimientos superiores en T5 respecto de T1 y T2, y de T3, T4 y T5 en comparación con T1 (Figura 1.i).</w:t>
      </w:r>
      <w:r w:rsidR="00F93607">
        <w:rPr>
          <w:rFonts w:ascii="Arial" w:hAnsi="Arial" w:cs="Arial"/>
          <w:sz w:val="22"/>
          <w:szCs w:val="22"/>
          <w:lang w:val="es-ES_tradnl"/>
        </w:rPr>
        <w:t xml:space="preserve"> Durante la campaña húmeda 2015/16, los tratamientos T3, T4 y T5 alcanzaron rendimientos muy elevados, superando a T2, y este a T1, respectivamente. Sin embargo, el T5 alcanzó los niveles máximos de concentración de proteína. La soja de segunda mantuvo la tendencia, con T3, T4 y T5 en el escalón máximo de rendimiento</w:t>
      </w:r>
      <w:r w:rsidR="005352DF">
        <w:rPr>
          <w:rFonts w:ascii="Arial" w:hAnsi="Arial" w:cs="Arial"/>
          <w:sz w:val="22"/>
          <w:szCs w:val="22"/>
          <w:lang w:val="es-ES_tradnl"/>
        </w:rPr>
        <w:t xml:space="preserve"> (Figura 1.i)</w:t>
      </w:r>
      <w:r w:rsidR="00F93607">
        <w:rPr>
          <w:rFonts w:ascii="Arial" w:hAnsi="Arial" w:cs="Arial"/>
          <w:sz w:val="22"/>
          <w:szCs w:val="22"/>
          <w:lang w:val="es-ES_tradnl"/>
        </w:rPr>
        <w:t xml:space="preserve">. </w:t>
      </w:r>
      <w:r w:rsidR="00DF1D49">
        <w:rPr>
          <w:rFonts w:ascii="Arial" w:hAnsi="Arial" w:cs="Arial"/>
          <w:sz w:val="22"/>
          <w:szCs w:val="22"/>
          <w:lang w:val="es-ES_tradnl"/>
        </w:rPr>
        <w:t>E</w:t>
      </w:r>
      <w:r w:rsidR="00F93607">
        <w:rPr>
          <w:rFonts w:ascii="Arial" w:hAnsi="Arial" w:cs="Arial"/>
          <w:sz w:val="22"/>
          <w:szCs w:val="22"/>
          <w:lang w:val="es-ES_tradnl"/>
        </w:rPr>
        <w:t>n la campaña 2016/17 el maíz mostró un comportamiento destacadísimo agrupando cuatro niveles de significancia estadística: T5 superior al resto, seguido por T3 y T4 en un nivel de equidad. Luego continuaron T2 y más abajo T1 con un rendimiento muy bajo y considerable brecha con los anteriores (Figura 1.</w:t>
      </w:r>
      <w:r w:rsidR="005352DF">
        <w:rPr>
          <w:rFonts w:ascii="Arial" w:hAnsi="Arial" w:cs="Arial"/>
          <w:sz w:val="22"/>
          <w:szCs w:val="22"/>
          <w:lang w:val="es-ES_tradnl"/>
        </w:rPr>
        <w:t>k</w:t>
      </w:r>
      <w:r w:rsidR="00F93607">
        <w:rPr>
          <w:rFonts w:ascii="Arial" w:hAnsi="Arial" w:cs="Arial"/>
          <w:sz w:val="22"/>
          <w:szCs w:val="22"/>
          <w:lang w:val="es-ES_tradnl"/>
        </w:rPr>
        <w:t>)</w:t>
      </w:r>
      <w:r w:rsidR="005352DF">
        <w:rPr>
          <w:rFonts w:ascii="Arial" w:hAnsi="Arial" w:cs="Arial"/>
          <w:sz w:val="22"/>
          <w:szCs w:val="22"/>
          <w:lang w:val="es-ES_tradnl"/>
        </w:rPr>
        <w:t>.</w:t>
      </w:r>
      <w:r w:rsidR="00DF1D49">
        <w:rPr>
          <w:rFonts w:ascii="Arial" w:hAnsi="Arial" w:cs="Arial"/>
          <w:sz w:val="22"/>
          <w:szCs w:val="22"/>
          <w:lang w:val="es-ES_tradnl"/>
        </w:rPr>
        <w:t xml:space="preserve"> </w:t>
      </w:r>
      <w:r w:rsidR="00F47B83">
        <w:rPr>
          <w:rFonts w:ascii="Arial" w:hAnsi="Arial" w:cs="Arial"/>
          <w:sz w:val="22"/>
          <w:szCs w:val="22"/>
          <w:lang w:val="es-ES_tradnl"/>
        </w:rPr>
        <w:t>E</w:t>
      </w:r>
      <w:r w:rsidR="00DF1D49">
        <w:rPr>
          <w:rFonts w:ascii="Arial" w:hAnsi="Arial" w:cs="Arial"/>
          <w:sz w:val="22"/>
          <w:szCs w:val="22"/>
          <w:lang w:val="es-ES_tradnl"/>
        </w:rPr>
        <w:t xml:space="preserve">n la campaña 2017/18 la soja evidenció diferencias significativas entre tratamientos (P&lt;0,10). El rendimiento máximo se obtuvo en los tratamientos T4 y T5, los cuales superaron al control (T1), a la vez de una tendencia incremental sobre T2 y T3. </w:t>
      </w:r>
      <w:r w:rsidR="008714D1">
        <w:rPr>
          <w:rFonts w:ascii="Arial" w:hAnsi="Arial" w:cs="Arial"/>
          <w:sz w:val="22"/>
          <w:szCs w:val="22"/>
          <w:lang w:val="es-ES_tradnl"/>
        </w:rPr>
        <w:t>Más adelante,</w:t>
      </w:r>
      <w:r w:rsidR="00F47B83">
        <w:rPr>
          <w:rFonts w:ascii="Arial" w:hAnsi="Arial" w:cs="Arial"/>
          <w:sz w:val="22"/>
          <w:szCs w:val="22"/>
          <w:lang w:val="es-ES_tradnl"/>
        </w:rPr>
        <w:t xml:space="preserve"> el ciclo 2018/19 se caracterizó por una alta expresión de rendimiento y</w:t>
      </w:r>
      <w:r w:rsidR="003A50EA">
        <w:rPr>
          <w:rFonts w:ascii="Arial" w:hAnsi="Arial" w:cs="Arial"/>
          <w:sz w:val="22"/>
          <w:szCs w:val="22"/>
          <w:lang w:val="es-ES_tradnl"/>
        </w:rPr>
        <w:t xml:space="preserve"> de los efectos de tratamiento. En trigo, se determinaron diferencias en (T2, T3, T4, T5) vs T1. Por su </w:t>
      </w:r>
      <w:proofErr w:type="spellStart"/>
      <w:r w:rsidR="003A50EA">
        <w:rPr>
          <w:rFonts w:ascii="Arial" w:hAnsi="Arial" w:cs="Arial"/>
          <w:sz w:val="22"/>
          <w:szCs w:val="22"/>
          <w:lang w:val="es-ES_tradnl"/>
        </w:rPr>
        <w:t>paste</w:t>
      </w:r>
      <w:proofErr w:type="spellEnd"/>
      <w:r w:rsidR="003A50EA">
        <w:rPr>
          <w:rFonts w:ascii="Arial" w:hAnsi="Arial" w:cs="Arial"/>
          <w:sz w:val="22"/>
          <w:szCs w:val="22"/>
          <w:lang w:val="es-ES_tradnl"/>
        </w:rPr>
        <w:t xml:space="preserve">, en concentración de proteína se separaron un grupo de comportamiento superior (T3, T4, T5) vs otro inferior (T1, T2). Lo propio sucedió en los rendimientos de soja de segunda, donde se determinaron rendimientos crecientes en todo el rango de tratamientos. </w:t>
      </w:r>
      <w:r w:rsidR="008714D1">
        <w:rPr>
          <w:rFonts w:ascii="Arial" w:hAnsi="Arial" w:cs="Arial"/>
          <w:sz w:val="22"/>
          <w:szCs w:val="22"/>
          <w:lang w:val="es-ES_tradnl"/>
        </w:rPr>
        <w:t>Finalmente, en el maíz de 2019/20 se determinó un incremento lineal en todo el rango de tratamientos evaluados, con el máximo estadístico en T4-T5 y el óptimo agronómico en T5 (Figura 1.k).</w:t>
      </w:r>
    </w:p>
    <w:p w:rsidR="00401D01" w:rsidRPr="0022296B" w:rsidRDefault="00401D01" w:rsidP="00FD706A">
      <w:pPr>
        <w:jc w:val="center"/>
        <w:rPr>
          <w:rFonts w:ascii="Arial" w:hAnsi="Arial" w:cs="Arial"/>
          <w:b/>
          <w:sz w:val="22"/>
          <w:szCs w:val="22"/>
          <w:lang w:val="es-ES_tradnl"/>
        </w:rPr>
      </w:pPr>
    </w:p>
    <w:p w:rsidR="009B3744" w:rsidRDefault="009365A1" w:rsidP="009365A1">
      <w:pPr>
        <w:rPr>
          <w:rFonts w:ascii="Arial" w:hAnsi="Arial" w:cs="Arial"/>
          <w:b/>
          <w:sz w:val="22"/>
          <w:szCs w:val="22"/>
          <w:lang w:val="es-ES_tradnl"/>
        </w:rPr>
      </w:pPr>
      <w:r w:rsidRPr="009365A1">
        <w:rPr>
          <w:noProof/>
        </w:rPr>
        <w:drawing>
          <wp:inline distT="0" distB="0" distL="0" distR="0">
            <wp:extent cx="3032796" cy="2670772"/>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r="3467" b="2005"/>
                    <a:stretch/>
                  </pic:blipFill>
                  <pic:spPr bwMode="auto">
                    <a:xfrm>
                      <a:off x="0" y="0"/>
                      <a:ext cx="3032949" cy="2670907"/>
                    </a:xfrm>
                    <a:prstGeom prst="rect">
                      <a:avLst/>
                    </a:prstGeom>
                    <a:noFill/>
                    <a:ln>
                      <a:noFill/>
                    </a:ln>
                    <a:extLst>
                      <a:ext uri="{53640926-AAD7-44D8-BBD7-CCE9431645EC}">
                        <a14:shadowObscured xmlns:a14="http://schemas.microsoft.com/office/drawing/2010/main"/>
                      </a:ext>
                    </a:extLst>
                  </pic:spPr>
                </pic:pic>
              </a:graphicData>
            </a:graphic>
          </wp:inline>
        </w:drawing>
      </w:r>
      <w:r w:rsidRPr="009365A1">
        <w:rPr>
          <w:noProof/>
        </w:rPr>
        <w:drawing>
          <wp:inline distT="0" distB="0" distL="0" distR="0">
            <wp:extent cx="3123446" cy="2688879"/>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1429" b="2551"/>
                    <a:stretch/>
                  </pic:blipFill>
                  <pic:spPr bwMode="auto">
                    <a:xfrm>
                      <a:off x="0" y="0"/>
                      <a:ext cx="3129302" cy="2693920"/>
                    </a:xfrm>
                    <a:prstGeom prst="rect">
                      <a:avLst/>
                    </a:prstGeom>
                    <a:noFill/>
                    <a:ln>
                      <a:noFill/>
                    </a:ln>
                    <a:extLst>
                      <a:ext uri="{53640926-AAD7-44D8-BBD7-CCE9431645EC}">
                        <a14:shadowObscured xmlns:a14="http://schemas.microsoft.com/office/drawing/2010/main"/>
                      </a:ext>
                    </a:extLst>
                  </pic:spPr>
                </pic:pic>
              </a:graphicData>
            </a:graphic>
          </wp:inline>
        </w:drawing>
      </w:r>
    </w:p>
    <w:p w:rsidR="009365A1" w:rsidRPr="00F1162D" w:rsidRDefault="00F1162D" w:rsidP="00F1162D">
      <w:pPr>
        <w:rPr>
          <w:rFonts w:ascii="Arial" w:hAnsi="Arial" w:cs="Arial"/>
          <w:b/>
          <w:sz w:val="16"/>
          <w:szCs w:val="22"/>
          <w:lang w:val="es-ES_tradnl"/>
        </w:rPr>
      </w:pPr>
      <w:r w:rsidRPr="00F1162D">
        <w:rPr>
          <w:rFonts w:ascii="Arial" w:hAnsi="Arial" w:cs="Arial"/>
          <w:b/>
          <w:sz w:val="16"/>
          <w:szCs w:val="22"/>
          <w:lang w:val="es-ES_tradnl"/>
        </w:rPr>
        <w:tab/>
      </w:r>
      <w:r w:rsidRPr="00F1162D">
        <w:rPr>
          <w:rFonts w:ascii="Arial" w:hAnsi="Arial" w:cs="Arial"/>
          <w:b/>
          <w:sz w:val="16"/>
          <w:szCs w:val="22"/>
          <w:lang w:val="es-ES_tradnl"/>
        </w:rPr>
        <w:tab/>
      </w:r>
      <w:r w:rsidRPr="00F1162D">
        <w:rPr>
          <w:rFonts w:ascii="Arial" w:hAnsi="Arial" w:cs="Arial"/>
          <w:b/>
          <w:sz w:val="16"/>
          <w:szCs w:val="22"/>
          <w:lang w:val="es-ES_tradnl"/>
        </w:rPr>
        <w:tab/>
        <w:t>Figura 1.a</w:t>
      </w:r>
      <w:r>
        <w:rPr>
          <w:rFonts w:ascii="Arial" w:hAnsi="Arial" w:cs="Arial"/>
          <w:b/>
          <w:sz w:val="16"/>
          <w:szCs w:val="22"/>
          <w:lang w:val="es-ES_tradnl"/>
        </w:rPr>
        <w:t xml:space="preserve"> </w:t>
      </w:r>
      <w:r>
        <w:rPr>
          <w:rFonts w:ascii="Arial" w:hAnsi="Arial" w:cs="Arial"/>
          <w:b/>
          <w:sz w:val="16"/>
          <w:szCs w:val="22"/>
          <w:lang w:val="es-ES_tradnl"/>
        </w:rPr>
        <w:tab/>
      </w:r>
      <w:r>
        <w:rPr>
          <w:rFonts w:ascii="Arial" w:hAnsi="Arial" w:cs="Arial"/>
          <w:b/>
          <w:sz w:val="16"/>
          <w:szCs w:val="22"/>
          <w:lang w:val="es-ES_tradnl"/>
        </w:rPr>
        <w:tab/>
      </w:r>
      <w:r>
        <w:rPr>
          <w:rFonts w:ascii="Arial" w:hAnsi="Arial" w:cs="Arial"/>
          <w:b/>
          <w:sz w:val="16"/>
          <w:szCs w:val="22"/>
          <w:lang w:val="es-ES_tradnl"/>
        </w:rPr>
        <w:tab/>
      </w:r>
      <w:r>
        <w:rPr>
          <w:rFonts w:ascii="Arial" w:hAnsi="Arial" w:cs="Arial"/>
          <w:b/>
          <w:sz w:val="16"/>
          <w:szCs w:val="22"/>
          <w:lang w:val="es-ES_tradnl"/>
        </w:rPr>
        <w:tab/>
      </w:r>
      <w:r>
        <w:rPr>
          <w:rFonts w:ascii="Arial" w:hAnsi="Arial" w:cs="Arial"/>
          <w:b/>
          <w:sz w:val="16"/>
          <w:szCs w:val="22"/>
          <w:lang w:val="es-ES_tradnl"/>
        </w:rPr>
        <w:tab/>
      </w:r>
      <w:r>
        <w:rPr>
          <w:rFonts w:ascii="Arial" w:hAnsi="Arial" w:cs="Arial"/>
          <w:b/>
          <w:sz w:val="16"/>
          <w:szCs w:val="22"/>
          <w:lang w:val="es-ES_tradnl"/>
        </w:rPr>
        <w:tab/>
        <w:t xml:space="preserve">   Figura 1.b</w:t>
      </w:r>
    </w:p>
    <w:p w:rsidR="009365A1" w:rsidRDefault="009365A1" w:rsidP="009365A1">
      <w:pPr>
        <w:rPr>
          <w:rFonts w:ascii="Arial" w:hAnsi="Arial" w:cs="Arial"/>
          <w:b/>
          <w:sz w:val="22"/>
          <w:szCs w:val="22"/>
          <w:lang w:val="es-ES_tradnl"/>
        </w:rPr>
      </w:pPr>
      <w:r w:rsidRPr="009365A1">
        <w:rPr>
          <w:noProof/>
        </w:rPr>
        <w:lastRenderedPageBreak/>
        <w:drawing>
          <wp:inline distT="0" distB="0" distL="0" distR="0">
            <wp:extent cx="3168713" cy="2711953"/>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607" r="3672" b="2310"/>
                    <a:stretch/>
                  </pic:blipFill>
                  <pic:spPr bwMode="auto">
                    <a:xfrm>
                      <a:off x="0" y="0"/>
                      <a:ext cx="3177715" cy="2719658"/>
                    </a:xfrm>
                    <a:prstGeom prst="rect">
                      <a:avLst/>
                    </a:prstGeom>
                    <a:noFill/>
                    <a:ln>
                      <a:noFill/>
                    </a:ln>
                    <a:extLst>
                      <a:ext uri="{53640926-AAD7-44D8-BBD7-CCE9431645EC}">
                        <a14:shadowObscured xmlns:a14="http://schemas.microsoft.com/office/drawing/2010/main"/>
                      </a:ext>
                    </a:extLst>
                  </pic:spPr>
                </pic:pic>
              </a:graphicData>
            </a:graphic>
          </wp:inline>
        </w:drawing>
      </w:r>
      <w:r w:rsidRPr="009365A1">
        <w:rPr>
          <w:noProof/>
        </w:rPr>
        <w:drawing>
          <wp:inline distT="0" distB="0" distL="0" distR="0">
            <wp:extent cx="3041965" cy="2726332"/>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326"/>
                    <a:stretch/>
                  </pic:blipFill>
                  <pic:spPr bwMode="auto">
                    <a:xfrm>
                      <a:off x="0" y="0"/>
                      <a:ext cx="3048542" cy="2732227"/>
                    </a:xfrm>
                    <a:prstGeom prst="rect">
                      <a:avLst/>
                    </a:prstGeom>
                    <a:noFill/>
                    <a:ln>
                      <a:noFill/>
                    </a:ln>
                    <a:extLst>
                      <a:ext uri="{53640926-AAD7-44D8-BBD7-CCE9431645EC}">
                        <a14:shadowObscured xmlns:a14="http://schemas.microsoft.com/office/drawing/2010/main"/>
                      </a:ext>
                    </a:extLst>
                  </pic:spPr>
                </pic:pic>
              </a:graphicData>
            </a:graphic>
          </wp:inline>
        </w:drawing>
      </w:r>
    </w:p>
    <w:p w:rsidR="00F1162D" w:rsidRPr="00F1162D" w:rsidRDefault="00F1162D" w:rsidP="00F1162D">
      <w:pPr>
        <w:rPr>
          <w:rFonts w:ascii="Arial" w:hAnsi="Arial" w:cs="Arial"/>
          <w:b/>
          <w:sz w:val="16"/>
          <w:szCs w:val="22"/>
          <w:lang w:val="es-ES_tradnl"/>
        </w:rPr>
      </w:pPr>
      <w:r w:rsidRPr="00F1162D">
        <w:rPr>
          <w:rFonts w:ascii="Arial" w:hAnsi="Arial" w:cs="Arial"/>
          <w:b/>
          <w:sz w:val="16"/>
          <w:szCs w:val="22"/>
          <w:lang w:val="es-ES_tradnl"/>
        </w:rPr>
        <w:tab/>
      </w:r>
      <w:r w:rsidRPr="00F1162D">
        <w:rPr>
          <w:rFonts w:ascii="Arial" w:hAnsi="Arial" w:cs="Arial"/>
          <w:b/>
          <w:sz w:val="16"/>
          <w:szCs w:val="22"/>
          <w:lang w:val="es-ES_tradnl"/>
        </w:rPr>
        <w:tab/>
      </w:r>
      <w:r w:rsidRPr="00F1162D">
        <w:rPr>
          <w:rFonts w:ascii="Arial" w:hAnsi="Arial" w:cs="Arial"/>
          <w:b/>
          <w:sz w:val="16"/>
          <w:szCs w:val="22"/>
          <w:lang w:val="es-ES_tradnl"/>
        </w:rPr>
        <w:tab/>
        <w:t>Figura 1.</w:t>
      </w:r>
      <w:r>
        <w:rPr>
          <w:rFonts w:ascii="Arial" w:hAnsi="Arial" w:cs="Arial"/>
          <w:b/>
          <w:sz w:val="16"/>
          <w:szCs w:val="22"/>
          <w:lang w:val="es-ES_tradnl"/>
        </w:rPr>
        <w:t xml:space="preserve">c </w:t>
      </w:r>
      <w:r>
        <w:rPr>
          <w:rFonts w:ascii="Arial" w:hAnsi="Arial" w:cs="Arial"/>
          <w:b/>
          <w:sz w:val="16"/>
          <w:szCs w:val="22"/>
          <w:lang w:val="es-ES_tradnl"/>
        </w:rPr>
        <w:tab/>
      </w:r>
      <w:r>
        <w:rPr>
          <w:rFonts w:ascii="Arial" w:hAnsi="Arial" w:cs="Arial"/>
          <w:b/>
          <w:sz w:val="16"/>
          <w:szCs w:val="22"/>
          <w:lang w:val="es-ES_tradnl"/>
        </w:rPr>
        <w:tab/>
      </w:r>
      <w:r>
        <w:rPr>
          <w:rFonts w:ascii="Arial" w:hAnsi="Arial" w:cs="Arial"/>
          <w:b/>
          <w:sz w:val="16"/>
          <w:szCs w:val="22"/>
          <w:lang w:val="es-ES_tradnl"/>
        </w:rPr>
        <w:tab/>
      </w:r>
      <w:r>
        <w:rPr>
          <w:rFonts w:ascii="Arial" w:hAnsi="Arial" w:cs="Arial"/>
          <w:b/>
          <w:sz w:val="16"/>
          <w:szCs w:val="22"/>
          <w:lang w:val="es-ES_tradnl"/>
        </w:rPr>
        <w:tab/>
      </w:r>
      <w:r>
        <w:rPr>
          <w:rFonts w:ascii="Arial" w:hAnsi="Arial" w:cs="Arial"/>
          <w:b/>
          <w:sz w:val="16"/>
          <w:szCs w:val="22"/>
          <w:lang w:val="es-ES_tradnl"/>
        </w:rPr>
        <w:tab/>
      </w:r>
      <w:r>
        <w:rPr>
          <w:rFonts w:ascii="Arial" w:hAnsi="Arial" w:cs="Arial"/>
          <w:b/>
          <w:sz w:val="16"/>
          <w:szCs w:val="22"/>
          <w:lang w:val="es-ES_tradnl"/>
        </w:rPr>
        <w:tab/>
        <w:t xml:space="preserve">   Figura 1.d</w:t>
      </w:r>
    </w:p>
    <w:p w:rsidR="009365A1" w:rsidRDefault="00B06B2A" w:rsidP="009365A1">
      <w:pPr>
        <w:rPr>
          <w:rFonts w:ascii="Arial" w:hAnsi="Arial" w:cs="Arial"/>
          <w:b/>
          <w:sz w:val="22"/>
          <w:szCs w:val="22"/>
          <w:lang w:val="es-ES_tradnl"/>
        </w:rPr>
      </w:pPr>
      <w:r w:rsidRPr="00B06B2A">
        <w:rPr>
          <w:noProof/>
        </w:rPr>
        <w:drawing>
          <wp:inline distT="0" distB="0" distL="0" distR="0">
            <wp:extent cx="3032911" cy="2749413"/>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710" r="2849"/>
                    <a:stretch/>
                  </pic:blipFill>
                  <pic:spPr bwMode="auto">
                    <a:xfrm>
                      <a:off x="0" y="0"/>
                      <a:ext cx="3037721" cy="2753774"/>
                    </a:xfrm>
                    <a:prstGeom prst="rect">
                      <a:avLst/>
                    </a:prstGeom>
                    <a:noFill/>
                    <a:ln>
                      <a:noFill/>
                    </a:ln>
                    <a:extLst>
                      <a:ext uri="{53640926-AAD7-44D8-BBD7-CCE9431645EC}">
                        <a14:shadowObscured xmlns:a14="http://schemas.microsoft.com/office/drawing/2010/main"/>
                      </a:ext>
                    </a:extLst>
                  </pic:spPr>
                </pic:pic>
              </a:graphicData>
            </a:graphic>
          </wp:inline>
        </w:drawing>
      </w:r>
      <w:r w:rsidRPr="00B06B2A">
        <w:rPr>
          <w:noProof/>
        </w:rPr>
        <w:drawing>
          <wp:inline distT="0" distB="0" distL="0" distR="0">
            <wp:extent cx="3096286" cy="2752254"/>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301" r="2811"/>
                    <a:stretch/>
                  </pic:blipFill>
                  <pic:spPr bwMode="auto">
                    <a:xfrm>
                      <a:off x="0" y="0"/>
                      <a:ext cx="3096286" cy="2752254"/>
                    </a:xfrm>
                    <a:prstGeom prst="rect">
                      <a:avLst/>
                    </a:prstGeom>
                    <a:noFill/>
                    <a:ln>
                      <a:noFill/>
                    </a:ln>
                    <a:extLst>
                      <a:ext uri="{53640926-AAD7-44D8-BBD7-CCE9431645EC}">
                        <a14:shadowObscured xmlns:a14="http://schemas.microsoft.com/office/drawing/2010/main"/>
                      </a:ext>
                    </a:extLst>
                  </pic:spPr>
                </pic:pic>
              </a:graphicData>
            </a:graphic>
          </wp:inline>
        </w:drawing>
      </w:r>
    </w:p>
    <w:p w:rsidR="00F1162D" w:rsidRPr="00F1162D" w:rsidRDefault="00F1162D" w:rsidP="00F1162D">
      <w:pPr>
        <w:rPr>
          <w:rFonts w:ascii="Arial" w:hAnsi="Arial" w:cs="Arial"/>
          <w:b/>
          <w:sz w:val="16"/>
          <w:szCs w:val="22"/>
          <w:lang w:val="es-ES_tradnl"/>
        </w:rPr>
      </w:pPr>
      <w:r w:rsidRPr="00F1162D">
        <w:rPr>
          <w:rFonts w:ascii="Arial" w:hAnsi="Arial" w:cs="Arial"/>
          <w:b/>
          <w:sz w:val="16"/>
          <w:szCs w:val="22"/>
          <w:lang w:val="es-ES_tradnl"/>
        </w:rPr>
        <w:tab/>
      </w:r>
      <w:r w:rsidRPr="00F1162D">
        <w:rPr>
          <w:rFonts w:ascii="Arial" w:hAnsi="Arial" w:cs="Arial"/>
          <w:b/>
          <w:sz w:val="16"/>
          <w:szCs w:val="22"/>
          <w:lang w:val="es-ES_tradnl"/>
        </w:rPr>
        <w:tab/>
      </w:r>
      <w:r w:rsidRPr="00F1162D">
        <w:rPr>
          <w:rFonts w:ascii="Arial" w:hAnsi="Arial" w:cs="Arial"/>
          <w:b/>
          <w:sz w:val="16"/>
          <w:szCs w:val="22"/>
          <w:lang w:val="es-ES_tradnl"/>
        </w:rPr>
        <w:tab/>
        <w:t>Figura 1.</w:t>
      </w:r>
      <w:r>
        <w:rPr>
          <w:rFonts w:ascii="Arial" w:hAnsi="Arial" w:cs="Arial"/>
          <w:b/>
          <w:sz w:val="16"/>
          <w:szCs w:val="22"/>
          <w:lang w:val="es-ES_tradnl"/>
        </w:rPr>
        <w:t xml:space="preserve">e </w:t>
      </w:r>
      <w:r>
        <w:rPr>
          <w:rFonts w:ascii="Arial" w:hAnsi="Arial" w:cs="Arial"/>
          <w:b/>
          <w:sz w:val="16"/>
          <w:szCs w:val="22"/>
          <w:lang w:val="es-ES_tradnl"/>
        </w:rPr>
        <w:tab/>
      </w:r>
      <w:r>
        <w:rPr>
          <w:rFonts w:ascii="Arial" w:hAnsi="Arial" w:cs="Arial"/>
          <w:b/>
          <w:sz w:val="16"/>
          <w:szCs w:val="22"/>
          <w:lang w:val="es-ES_tradnl"/>
        </w:rPr>
        <w:tab/>
      </w:r>
      <w:r>
        <w:rPr>
          <w:rFonts w:ascii="Arial" w:hAnsi="Arial" w:cs="Arial"/>
          <w:b/>
          <w:sz w:val="16"/>
          <w:szCs w:val="22"/>
          <w:lang w:val="es-ES_tradnl"/>
        </w:rPr>
        <w:tab/>
      </w:r>
      <w:r>
        <w:rPr>
          <w:rFonts w:ascii="Arial" w:hAnsi="Arial" w:cs="Arial"/>
          <w:b/>
          <w:sz w:val="16"/>
          <w:szCs w:val="22"/>
          <w:lang w:val="es-ES_tradnl"/>
        </w:rPr>
        <w:tab/>
      </w:r>
      <w:r>
        <w:rPr>
          <w:rFonts w:ascii="Arial" w:hAnsi="Arial" w:cs="Arial"/>
          <w:b/>
          <w:sz w:val="16"/>
          <w:szCs w:val="22"/>
          <w:lang w:val="es-ES_tradnl"/>
        </w:rPr>
        <w:tab/>
      </w:r>
      <w:r>
        <w:rPr>
          <w:rFonts w:ascii="Arial" w:hAnsi="Arial" w:cs="Arial"/>
          <w:b/>
          <w:sz w:val="16"/>
          <w:szCs w:val="22"/>
          <w:lang w:val="es-ES_tradnl"/>
        </w:rPr>
        <w:tab/>
        <w:t xml:space="preserve">   Figura 1.f</w:t>
      </w:r>
    </w:p>
    <w:p w:rsidR="00970230" w:rsidRDefault="00970230" w:rsidP="009365A1">
      <w:pPr>
        <w:rPr>
          <w:rFonts w:ascii="Arial" w:hAnsi="Arial" w:cs="Arial"/>
          <w:b/>
          <w:sz w:val="22"/>
          <w:szCs w:val="22"/>
          <w:lang w:val="es-ES_tradnl"/>
        </w:rPr>
      </w:pPr>
      <w:r w:rsidRPr="00970230">
        <w:rPr>
          <w:noProof/>
        </w:rPr>
        <w:drawing>
          <wp:inline distT="0" distB="0" distL="0" distR="0">
            <wp:extent cx="3142051" cy="2797521"/>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670" r="5009"/>
                    <a:stretch/>
                  </pic:blipFill>
                  <pic:spPr bwMode="auto">
                    <a:xfrm>
                      <a:off x="0" y="0"/>
                      <a:ext cx="3142167" cy="2797625"/>
                    </a:xfrm>
                    <a:prstGeom prst="rect">
                      <a:avLst/>
                    </a:prstGeom>
                    <a:noFill/>
                    <a:ln>
                      <a:noFill/>
                    </a:ln>
                    <a:extLst>
                      <a:ext uri="{53640926-AAD7-44D8-BBD7-CCE9431645EC}">
                        <a14:shadowObscured xmlns:a14="http://schemas.microsoft.com/office/drawing/2010/main"/>
                      </a:ext>
                    </a:extLst>
                  </pic:spPr>
                </pic:pic>
              </a:graphicData>
            </a:graphic>
          </wp:inline>
        </w:drawing>
      </w:r>
      <w:r w:rsidRPr="00970230">
        <w:rPr>
          <w:noProof/>
        </w:rPr>
        <w:drawing>
          <wp:inline distT="0" distB="0" distL="0" distR="0">
            <wp:extent cx="3132499" cy="2786899"/>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825"/>
                    <a:stretch/>
                  </pic:blipFill>
                  <pic:spPr bwMode="auto">
                    <a:xfrm>
                      <a:off x="0" y="0"/>
                      <a:ext cx="3139223" cy="2792881"/>
                    </a:xfrm>
                    <a:prstGeom prst="rect">
                      <a:avLst/>
                    </a:prstGeom>
                    <a:noFill/>
                    <a:ln>
                      <a:noFill/>
                    </a:ln>
                    <a:extLst>
                      <a:ext uri="{53640926-AAD7-44D8-BBD7-CCE9431645EC}">
                        <a14:shadowObscured xmlns:a14="http://schemas.microsoft.com/office/drawing/2010/main"/>
                      </a:ext>
                    </a:extLst>
                  </pic:spPr>
                </pic:pic>
              </a:graphicData>
            </a:graphic>
          </wp:inline>
        </w:drawing>
      </w:r>
    </w:p>
    <w:p w:rsidR="0004484E" w:rsidRDefault="0004484E" w:rsidP="0004484E">
      <w:pPr>
        <w:rPr>
          <w:rFonts w:ascii="Arial" w:hAnsi="Arial" w:cs="Arial"/>
          <w:b/>
          <w:sz w:val="16"/>
          <w:szCs w:val="22"/>
          <w:lang w:val="pt-BR"/>
        </w:rPr>
      </w:pPr>
      <w:r w:rsidRPr="00F1162D">
        <w:rPr>
          <w:rFonts w:ascii="Arial" w:hAnsi="Arial" w:cs="Arial"/>
          <w:b/>
          <w:sz w:val="16"/>
          <w:szCs w:val="22"/>
          <w:lang w:val="es-ES_tradnl"/>
        </w:rPr>
        <w:tab/>
      </w:r>
      <w:r w:rsidRPr="00F1162D">
        <w:rPr>
          <w:rFonts w:ascii="Arial" w:hAnsi="Arial" w:cs="Arial"/>
          <w:b/>
          <w:sz w:val="16"/>
          <w:szCs w:val="22"/>
          <w:lang w:val="es-ES_tradnl"/>
        </w:rPr>
        <w:tab/>
      </w:r>
      <w:r w:rsidRPr="00F1162D">
        <w:rPr>
          <w:rFonts w:ascii="Arial" w:hAnsi="Arial" w:cs="Arial"/>
          <w:b/>
          <w:sz w:val="16"/>
          <w:szCs w:val="22"/>
          <w:lang w:val="es-ES_tradnl"/>
        </w:rPr>
        <w:tab/>
      </w:r>
      <w:r w:rsidRPr="0004484E">
        <w:rPr>
          <w:rFonts w:ascii="Arial" w:hAnsi="Arial" w:cs="Arial"/>
          <w:b/>
          <w:sz w:val="16"/>
          <w:szCs w:val="22"/>
          <w:lang w:val="pt-BR"/>
        </w:rPr>
        <w:t xml:space="preserve">Figura 1.g </w:t>
      </w:r>
      <w:r w:rsidRPr="0004484E">
        <w:rPr>
          <w:rFonts w:ascii="Arial" w:hAnsi="Arial" w:cs="Arial"/>
          <w:b/>
          <w:sz w:val="16"/>
          <w:szCs w:val="22"/>
          <w:lang w:val="pt-BR"/>
        </w:rPr>
        <w:tab/>
      </w:r>
      <w:r w:rsidRPr="0004484E">
        <w:rPr>
          <w:rFonts w:ascii="Arial" w:hAnsi="Arial" w:cs="Arial"/>
          <w:b/>
          <w:sz w:val="16"/>
          <w:szCs w:val="22"/>
          <w:lang w:val="pt-BR"/>
        </w:rPr>
        <w:tab/>
      </w:r>
      <w:r w:rsidRPr="0004484E">
        <w:rPr>
          <w:rFonts w:ascii="Arial" w:hAnsi="Arial" w:cs="Arial"/>
          <w:b/>
          <w:sz w:val="16"/>
          <w:szCs w:val="22"/>
          <w:lang w:val="pt-BR"/>
        </w:rPr>
        <w:tab/>
      </w:r>
      <w:r w:rsidRPr="0004484E">
        <w:rPr>
          <w:rFonts w:ascii="Arial" w:hAnsi="Arial" w:cs="Arial"/>
          <w:b/>
          <w:sz w:val="16"/>
          <w:szCs w:val="22"/>
          <w:lang w:val="pt-BR"/>
        </w:rPr>
        <w:tab/>
      </w:r>
      <w:r w:rsidRPr="0004484E">
        <w:rPr>
          <w:rFonts w:ascii="Arial" w:hAnsi="Arial" w:cs="Arial"/>
          <w:b/>
          <w:sz w:val="16"/>
          <w:szCs w:val="22"/>
          <w:lang w:val="pt-BR"/>
        </w:rPr>
        <w:tab/>
      </w:r>
      <w:r w:rsidRPr="0004484E">
        <w:rPr>
          <w:rFonts w:ascii="Arial" w:hAnsi="Arial" w:cs="Arial"/>
          <w:b/>
          <w:sz w:val="16"/>
          <w:szCs w:val="22"/>
          <w:lang w:val="pt-BR"/>
        </w:rPr>
        <w:tab/>
        <w:t>Figura 1.h</w:t>
      </w:r>
    </w:p>
    <w:p w:rsidR="003832E7" w:rsidRDefault="00FB70CC" w:rsidP="00FB70CC">
      <w:pPr>
        <w:jc w:val="center"/>
        <w:rPr>
          <w:rFonts w:ascii="Arial" w:hAnsi="Arial" w:cs="Arial"/>
          <w:b/>
          <w:sz w:val="16"/>
          <w:szCs w:val="22"/>
          <w:lang w:val="pt-BR"/>
        </w:rPr>
      </w:pPr>
      <w:r w:rsidRPr="00FB70CC">
        <w:rPr>
          <w:noProof/>
        </w:rPr>
        <w:lastRenderedPageBreak/>
        <w:drawing>
          <wp:inline distT="0" distB="0" distL="0" distR="0">
            <wp:extent cx="3094355" cy="2598164"/>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3860" r="1995" b="2107"/>
                    <a:stretch/>
                  </pic:blipFill>
                  <pic:spPr bwMode="auto">
                    <a:xfrm>
                      <a:off x="0" y="0"/>
                      <a:ext cx="3096186" cy="2599701"/>
                    </a:xfrm>
                    <a:prstGeom prst="rect">
                      <a:avLst/>
                    </a:prstGeom>
                    <a:noFill/>
                    <a:ln>
                      <a:noFill/>
                    </a:ln>
                    <a:extLst>
                      <a:ext uri="{53640926-AAD7-44D8-BBD7-CCE9431645EC}">
                        <a14:shadowObscured xmlns:a14="http://schemas.microsoft.com/office/drawing/2010/main"/>
                      </a:ext>
                    </a:extLst>
                  </pic:spPr>
                </pic:pic>
              </a:graphicData>
            </a:graphic>
          </wp:inline>
        </w:drawing>
      </w:r>
      <w:r w:rsidR="00F93607" w:rsidRPr="00F60433">
        <w:rPr>
          <w:noProof/>
          <w:lang w:val="pt-BR"/>
        </w:rPr>
        <w:t xml:space="preserve"> </w:t>
      </w:r>
      <w:r w:rsidR="00F93607" w:rsidRPr="00F93607">
        <w:rPr>
          <w:noProof/>
        </w:rPr>
        <w:drawing>
          <wp:inline distT="0" distB="0" distL="0" distR="0">
            <wp:extent cx="3221990" cy="266700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2421"/>
                    <a:stretch/>
                  </pic:blipFill>
                  <pic:spPr bwMode="auto">
                    <a:xfrm>
                      <a:off x="0" y="0"/>
                      <a:ext cx="3249808" cy="2690026"/>
                    </a:xfrm>
                    <a:prstGeom prst="rect">
                      <a:avLst/>
                    </a:prstGeom>
                    <a:noFill/>
                    <a:ln>
                      <a:noFill/>
                    </a:ln>
                    <a:extLst>
                      <a:ext uri="{53640926-AAD7-44D8-BBD7-CCE9431645EC}">
                        <a14:shadowObscured xmlns:a14="http://schemas.microsoft.com/office/drawing/2010/main"/>
                      </a:ext>
                    </a:extLst>
                  </pic:spPr>
                </pic:pic>
              </a:graphicData>
            </a:graphic>
          </wp:inline>
        </w:drawing>
      </w:r>
    </w:p>
    <w:p w:rsidR="00201B51" w:rsidRPr="005C5C10" w:rsidRDefault="00201B51" w:rsidP="00F60433">
      <w:pPr>
        <w:ind w:left="1416" w:firstLine="708"/>
        <w:rPr>
          <w:rFonts w:ascii="Arial" w:hAnsi="Arial" w:cs="Arial"/>
          <w:b/>
          <w:sz w:val="16"/>
          <w:szCs w:val="22"/>
          <w:lang w:val="pt-BR"/>
        </w:rPr>
      </w:pPr>
      <w:r w:rsidRPr="005C5C10">
        <w:rPr>
          <w:rFonts w:ascii="Arial" w:hAnsi="Arial" w:cs="Arial"/>
          <w:b/>
          <w:sz w:val="16"/>
          <w:szCs w:val="22"/>
          <w:lang w:val="pt-BR"/>
        </w:rPr>
        <w:t>Figura 1.i</w:t>
      </w:r>
      <w:r w:rsidR="0016282E" w:rsidRPr="005C5C10">
        <w:rPr>
          <w:rFonts w:ascii="Arial" w:hAnsi="Arial" w:cs="Arial"/>
          <w:b/>
          <w:sz w:val="16"/>
          <w:szCs w:val="22"/>
          <w:lang w:val="pt-BR"/>
        </w:rPr>
        <w:t xml:space="preserve"> </w:t>
      </w:r>
      <w:r w:rsidR="0016282E" w:rsidRPr="005C5C10">
        <w:rPr>
          <w:rFonts w:ascii="Arial" w:hAnsi="Arial" w:cs="Arial"/>
          <w:b/>
          <w:sz w:val="16"/>
          <w:szCs w:val="22"/>
          <w:lang w:val="pt-BR"/>
        </w:rPr>
        <w:tab/>
      </w:r>
      <w:r w:rsidR="0016282E" w:rsidRPr="005C5C10">
        <w:rPr>
          <w:rFonts w:ascii="Arial" w:hAnsi="Arial" w:cs="Arial"/>
          <w:b/>
          <w:sz w:val="16"/>
          <w:szCs w:val="22"/>
          <w:lang w:val="pt-BR"/>
        </w:rPr>
        <w:tab/>
      </w:r>
      <w:r w:rsidR="0016282E" w:rsidRPr="005C5C10">
        <w:rPr>
          <w:rFonts w:ascii="Arial" w:hAnsi="Arial" w:cs="Arial"/>
          <w:b/>
          <w:sz w:val="16"/>
          <w:szCs w:val="22"/>
          <w:lang w:val="pt-BR"/>
        </w:rPr>
        <w:tab/>
      </w:r>
      <w:r w:rsidR="0016282E" w:rsidRPr="005C5C10">
        <w:rPr>
          <w:rFonts w:ascii="Arial" w:hAnsi="Arial" w:cs="Arial"/>
          <w:b/>
          <w:sz w:val="16"/>
          <w:szCs w:val="22"/>
          <w:lang w:val="pt-BR"/>
        </w:rPr>
        <w:tab/>
      </w:r>
      <w:r w:rsidR="0016282E" w:rsidRPr="005C5C10">
        <w:rPr>
          <w:rFonts w:ascii="Arial" w:hAnsi="Arial" w:cs="Arial"/>
          <w:b/>
          <w:sz w:val="16"/>
          <w:szCs w:val="22"/>
          <w:lang w:val="pt-BR"/>
        </w:rPr>
        <w:tab/>
      </w:r>
      <w:r w:rsidR="00F60433">
        <w:rPr>
          <w:rFonts w:ascii="Arial" w:hAnsi="Arial" w:cs="Arial"/>
          <w:b/>
          <w:sz w:val="16"/>
          <w:szCs w:val="22"/>
          <w:lang w:val="pt-BR"/>
        </w:rPr>
        <w:tab/>
        <w:t xml:space="preserve">   </w:t>
      </w:r>
      <w:r w:rsidR="0016282E" w:rsidRPr="005C5C10">
        <w:rPr>
          <w:rFonts w:ascii="Arial" w:hAnsi="Arial" w:cs="Arial"/>
          <w:b/>
          <w:sz w:val="16"/>
          <w:szCs w:val="22"/>
          <w:lang w:val="pt-BR"/>
        </w:rPr>
        <w:t>Figura 1.j</w:t>
      </w:r>
    </w:p>
    <w:p w:rsidR="00140A1C" w:rsidRPr="005C5C10" w:rsidRDefault="00140A1C" w:rsidP="00FD706A">
      <w:pPr>
        <w:jc w:val="both"/>
        <w:rPr>
          <w:rFonts w:ascii="Arial" w:hAnsi="Arial" w:cs="Arial"/>
          <w:b/>
          <w:sz w:val="20"/>
          <w:szCs w:val="22"/>
          <w:lang w:val="pt-BR"/>
        </w:rPr>
      </w:pPr>
    </w:p>
    <w:p w:rsidR="00C61944" w:rsidRDefault="00F60433" w:rsidP="00F60433">
      <w:pPr>
        <w:rPr>
          <w:rFonts w:ascii="Arial" w:hAnsi="Arial" w:cs="Arial"/>
          <w:b/>
          <w:sz w:val="20"/>
          <w:szCs w:val="22"/>
          <w:lang w:val="pt-BR"/>
        </w:rPr>
      </w:pPr>
      <w:r w:rsidRPr="00F60433">
        <w:rPr>
          <w:noProof/>
        </w:rPr>
        <w:drawing>
          <wp:inline distT="0" distB="0" distL="0" distR="0">
            <wp:extent cx="3136917" cy="279082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36917" cy="2790825"/>
                    </a:xfrm>
                    <a:prstGeom prst="rect">
                      <a:avLst/>
                    </a:prstGeom>
                    <a:noFill/>
                    <a:ln>
                      <a:noFill/>
                    </a:ln>
                  </pic:spPr>
                </pic:pic>
              </a:graphicData>
            </a:graphic>
          </wp:inline>
        </w:drawing>
      </w:r>
      <w:r w:rsidR="002207DE" w:rsidRPr="005C5C10">
        <w:rPr>
          <w:rFonts w:ascii="Arial" w:hAnsi="Arial" w:cs="Arial"/>
          <w:b/>
          <w:sz w:val="20"/>
          <w:szCs w:val="22"/>
          <w:lang w:val="pt-BR"/>
        </w:rPr>
        <w:t xml:space="preserve"> </w:t>
      </w:r>
      <w:r w:rsidRPr="00F60433">
        <w:rPr>
          <w:noProof/>
        </w:rPr>
        <w:drawing>
          <wp:inline distT="0" distB="0" distL="0" distR="0">
            <wp:extent cx="3114675" cy="2847975"/>
            <wp:effectExtent l="0" t="0" r="952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2678"/>
                    <a:stretch/>
                  </pic:blipFill>
                  <pic:spPr bwMode="auto">
                    <a:xfrm>
                      <a:off x="0" y="0"/>
                      <a:ext cx="3114675" cy="2847975"/>
                    </a:xfrm>
                    <a:prstGeom prst="rect">
                      <a:avLst/>
                    </a:prstGeom>
                    <a:noFill/>
                    <a:ln>
                      <a:noFill/>
                    </a:ln>
                    <a:extLst>
                      <a:ext uri="{53640926-AAD7-44D8-BBD7-CCE9431645EC}">
                        <a14:shadowObscured xmlns:a14="http://schemas.microsoft.com/office/drawing/2010/main"/>
                      </a:ext>
                    </a:extLst>
                  </pic:spPr>
                </pic:pic>
              </a:graphicData>
            </a:graphic>
          </wp:inline>
        </w:drawing>
      </w:r>
    </w:p>
    <w:p w:rsidR="00F60433" w:rsidRDefault="002207DE" w:rsidP="00F60433">
      <w:pPr>
        <w:ind w:left="1416" w:firstLine="708"/>
        <w:rPr>
          <w:rFonts w:ascii="Arial" w:hAnsi="Arial" w:cs="Arial"/>
          <w:b/>
          <w:sz w:val="16"/>
          <w:szCs w:val="22"/>
          <w:lang w:val="pt-BR"/>
        </w:rPr>
      </w:pPr>
      <w:r w:rsidRPr="00AC5C68">
        <w:rPr>
          <w:rFonts w:ascii="Arial" w:hAnsi="Arial" w:cs="Arial"/>
          <w:b/>
          <w:sz w:val="16"/>
          <w:szCs w:val="22"/>
          <w:lang w:val="pt-BR"/>
        </w:rPr>
        <w:t>Figura 1.</w:t>
      </w:r>
      <w:r w:rsidR="005352DF" w:rsidRPr="00AC5C68">
        <w:rPr>
          <w:rFonts w:ascii="Arial" w:hAnsi="Arial" w:cs="Arial"/>
          <w:b/>
          <w:sz w:val="16"/>
          <w:szCs w:val="22"/>
          <w:lang w:val="pt-BR"/>
        </w:rPr>
        <w:t>k</w:t>
      </w:r>
      <w:r w:rsidR="00F60433" w:rsidRPr="00AC5C68">
        <w:rPr>
          <w:rFonts w:ascii="Arial" w:hAnsi="Arial" w:cs="Arial"/>
          <w:b/>
          <w:sz w:val="16"/>
          <w:szCs w:val="22"/>
          <w:lang w:val="pt-BR"/>
        </w:rPr>
        <w:tab/>
      </w:r>
      <w:r w:rsidR="00F60433" w:rsidRPr="00AC5C68">
        <w:rPr>
          <w:rFonts w:ascii="Arial" w:hAnsi="Arial" w:cs="Arial"/>
          <w:b/>
          <w:sz w:val="16"/>
          <w:szCs w:val="22"/>
          <w:lang w:val="pt-BR"/>
        </w:rPr>
        <w:tab/>
      </w:r>
      <w:r w:rsidR="00F60433" w:rsidRPr="00AC5C68">
        <w:rPr>
          <w:rFonts w:ascii="Arial" w:hAnsi="Arial" w:cs="Arial"/>
          <w:b/>
          <w:sz w:val="16"/>
          <w:szCs w:val="22"/>
          <w:lang w:val="pt-BR"/>
        </w:rPr>
        <w:tab/>
      </w:r>
      <w:r w:rsidR="00F60433" w:rsidRPr="00AC5C68">
        <w:rPr>
          <w:rFonts w:ascii="Arial" w:hAnsi="Arial" w:cs="Arial"/>
          <w:b/>
          <w:sz w:val="16"/>
          <w:szCs w:val="22"/>
          <w:lang w:val="pt-BR"/>
        </w:rPr>
        <w:tab/>
      </w:r>
      <w:r w:rsidR="00F60433" w:rsidRPr="00AC5C68">
        <w:rPr>
          <w:rFonts w:ascii="Arial" w:hAnsi="Arial" w:cs="Arial"/>
          <w:b/>
          <w:sz w:val="16"/>
          <w:szCs w:val="22"/>
          <w:lang w:val="pt-BR"/>
        </w:rPr>
        <w:tab/>
      </w:r>
      <w:r w:rsidR="00F60433" w:rsidRPr="00AC5C68">
        <w:rPr>
          <w:rFonts w:ascii="Arial" w:hAnsi="Arial" w:cs="Arial"/>
          <w:b/>
          <w:sz w:val="16"/>
          <w:szCs w:val="22"/>
          <w:lang w:val="pt-BR"/>
        </w:rPr>
        <w:tab/>
        <w:t xml:space="preserve">    Figura 1.l</w:t>
      </w:r>
    </w:p>
    <w:p w:rsidR="00F47B83" w:rsidRPr="00C61944" w:rsidRDefault="00C61944" w:rsidP="00281BCA">
      <w:pPr>
        <w:rPr>
          <w:rFonts w:ascii="Arial" w:hAnsi="Arial" w:cs="Arial"/>
          <w:b/>
          <w:sz w:val="16"/>
          <w:szCs w:val="22"/>
          <w:lang w:val="pt-BR"/>
        </w:rPr>
      </w:pPr>
      <w:r>
        <w:rPr>
          <w:noProof/>
        </w:rPr>
        <w:drawing>
          <wp:inline distT="0" distB="0" distL="0" distR="0" wp14:anchorId="2BA5A528" wp14:editId="64BB5786">
            <wp:extent cx="3168000" cy="2847600"/>
            <wp:effectExtent l="0" t="0" r="0" b="0"/>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Pr>
          <w:noProof/>
        </w:rPr>
        <w:drawing>
          <wp:inline distT="0" distB="0" distL="0" distR="0" wp14:anchorId="510D1434" wp14:editId="3CE3133F">
            <wp:extent cx="3132000" cy="2847600"/>
            <wp:effectExtent l="0" t="0" r="0" b="0"/>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34872" w:rsidRPr="00AC5C68" w:rsidRDefault="00281BCA" w:rsidP="00281BCA">
      <w:pPr>
        <w:jc w:val="center"/>
        <w:rPr>
          <w:rFonts w:ascii="Arial" w:hAnsi="Arial" w:cs="Arial"/>
          <w:b/>
          <w:sz w:val="16"/>
          <w:szCs w:val="22"/>
          <w:lang w:val="pt-BR"/>
        </w:rPr>
      </w:pPr>
      <w:r>
        <w:rPr>
          <w:rFonts w:ascii="Arial" w:hAnsi="Arial" w:cs="Arial"/>
          <w:b/>
          <w:sz w:val="16"/>
          <w:szCs w:val="22"/>
          <w:lang w:val="pt-BR"/>
        </w:rPr>
        <w:t xml:space="preserve">    </w:t>
      </w:r>
      <w:r w:rsidR="00834872">
        <w:rPr>
          <w:rFonts w:ascii="Arial" w:hAnsi="Arial" w:cs="Arial"/>
          <w:b/>
          <w:sz w:val="16"/>
          <w:szCs w:val="22"/>
          <w:lang w:val="pt-BR"/>
        </w:rPr>
        <w:t>Figura 1.J</w:t>
      </w:r>
      <w:r>
        <w:rPr>
          <w:rFonts w:ascii="Arial" w:hAnsi="Arial" w:cs="Arial"/>
          <w:b/>
          <w:sz w:val="16"/>
          <w:szCs w:val="22"/>
          <w:lang w:val="pt-BR"/>
        </w:rPr>
        <w:tab/>
      </w:r>
      <w:r>
        <w:rPr>
          <w:rFonts w:ascii="Arial" w:hAnsi="Arial" w:cs="Arial"/>
          <w:b/>
          <w:sz w:val="16"/>
          <w:szCs w:val="22"/>
          <w:lang w:val="pt-BR"/>
        </w:rPr>
        <w:tab/>
      </w:r>
      <w:r>
        <w:rPr>
          <w:rFonts w:ascii="Arial" w:hAnsi="Arial" w:cs="Arial"/>
          <w:b/>
          <w:sz w:val="16"/>
          <w:szCs w:val="22"/>
          <w:lang w:val="pt-BR"/>
        </w:rPr>
        <w:tab/>
      </w:r>
      <w:r>
        <w:rPr>
          <w:rFonts w:ascii="Arial" w:hAnsi="Arial" w:cs="Arial"/>
          <w:b/>
          <w:sz w:val="16"/>
          <w:szCs w:val="22"/>
          <w:lang w:val="pt-BR"/>
        </w:rPr>
        <w:tab/>
      </w:r>
      <w:r>
        <w:rPr>
          <w:rFonts w:ascii="Arial" w:hAnsi="Arial" w:cs="Arial"/>
          <w:b/>
          <w:sz w:val="16"/>
          <w:szCs w:val="22"/>
          <w:lang w:val="pt-BR"/>
        </w:rPr>
        <w:tab/>
      </w:r>
      <w:r>
        <w:rPr>
          <w:rFonts w:ascii="Arial" w:hAnsi="Arial" w:cs="Arial"/>
          <w:b/>
          <w:sz w:val="16"/>
          <w:szCs w:val="22"/>
          <w:lang w:val="pt-BR"/>
        </w:rPr>
        <w:tab/>
        <w:t xml:space="preserve">   Figura 1.k</w:t>
      </w:r>
    </w:p>
    <w:p w:rsidR="00725716" w:rsidRPr="0022296B" w:rsidRDefault="00725716" w:rsidP="00FD706A">
      <w:pPr>
        <w:jc w:val="both"/>
        <w:rPr>
          <w:rFonts w:ascii="Arial" w:hAnsi="Arial" w:cs="Arial"/>
          <w:sz w:val="20"/>
          <w:szCs w:val="22"/>
          <w:lang w:val="es-ES_tradnl"/>
        </w:rPr>
      </w:pPr>
      <w:r w:rsidRPr="00AC5C68">
        <w:rPr>
          <w:rFonts w:ascii="Arial" w:hAnsi="Arial" w:cs="Arial"/>
          <w:b/>
          <w:sz w:val="20"/>
          <w:szCs w:val="22"/>
          <w:lang w:val="pt-BR"/>
        </w:rPr>
        <w:lastRenderedPageBreak/>
        <w:t xml:space="preserve">Figura </w:t>
      </w:r>
      <w:r w:rsidR="007468B0" w:rsidRPr="00AC5C68">
        <w:rPr>
          <w:rFonts w:ascii="Arial" w:hAnsi="Arial" w:cs="Arial"/>
          <w:b/>
          <w:sz w:val="20"/>
          <w:szCs w:val="22"/>
          <w:lang w:val="pt-BR"/>
        </w:rPr>
        <w:t>1</w:t>
      </w:r>
      <w:r w:rsidR="00FD706A" w:rsidRPr="00AC5C68">
        <w:rPr>
          <w:rFonts w:ascii="Arial" w:hAnsi="Arial" w:cs="Arial"/>
          <w:b/>
          <w:sz w:val="20"/>
          <w:szCs w:val="22"/>
          <w:lang w:val="pt-BR"/>
        </w:rPr>
        <w:t>.</w:t>
      </w:r>
      <w:r w:rsidRPr="00AC5C68">
        <w:rPr>
          <w:rFonts w:ascii="Arial" w:hAnsi="Arial" w:cs="Arial"/>
          <w:sz w:val="20"/>
          <w:szCs w:val="22"/>
          <w:lang w:val="pt-BR"/>
        </w:rPr>
        <w:t xml:space="preserve"> </w:t>
      </w:r>
      <w:proofErr w:type="spellStart"/>
      <w:r w:rsidRPr="00AC5C68">
        <w:rPr>
          <w:rFonts w:ascii="Arial" w:hAnsi="Arial" w:cs="Arial"/>
          <w:sz w:val="20"/>
          <w:szCs w:val="22"/>
          <w:lang w:val="pt-BR"/>
        </w:rPr>
        <w:t>Rendimiento</w:t>
      </w:r>
      <w:proofErr w:type="spellEnd"/>
      <w:r w:rsidRPr="00AC5C68">
        <w:rPr>
          <w:rFonts w:ascii="Arial" w:hAnsi="Arial" w:cs="Arial"/>
          <w:sz w:val="20"/>
          <w:szCs w:val="22"/>
          <w:lang w:val="pt-BR"/>
        </w:rPr>
        <w:t xml:space="preserve"> </w:t>
      </w:r>
      <w:r w:rsidR="00970230" w:rsidRPr="00AC5C68">
        <w:rPr>
          <w:rFonts w:ascii="Arial" w:hAnsi="Arial" w:cs="Arial"/>
          <w:sz w:val="20"/>
          <w:szCs w:val="22"/>
          <w:lang w:val="pt-BR"/>
        </w:rPr>
        <w:t xml:space="preserve">anualizado </w:t>
      </w:r>
      <w:r w:rsidRPr="00AC5C68">
        <w:rPr>
          <w:rFonts w:ascii="Arial" w:hAnsi="Arial" w:cs="Arial"/>
          <w:sz w:val="20"/>
          <w:szCs w:val="22"/>
          <w:lang w:val="pt-BR"/>
        </w:rPr>
        <w:t xml:space="preserve">de diferentes </w:t>
      </w:r>
      <w:proofErr w:type="spellStart"/>
      <w:r w:rsidRPr="00AC5C68">
        <w:rPr>
          <w:rFonts w:ascii="Arial" w:hAnsi="Arial" w:cs="Arial"/>
          <w:sz w:val="20"/>
          <w:szCs w:val="22"/>
          <w:lang w:val="pt-BR"/>
        </w:rPr>
        <w:t>estrategias</w:t>
      </w:r>
      <w:proofErr w:type="spellEnd"/>
      <w:r w:rsidRPr="00AC5C68">
        <w:rPr>
          <w:rFonts w:ascii="Arial" w:hAnsi="Arial" w:cs="Arial"/>
          <w:sz w:val="20"/>
          <w:szCs w:val="22"/>
          <w:lang w:val="pt-BR"/>
        </w:rPr>
        <w:t xml:space="preserve"> de </w:t>
      </w:r>
      <w:proofErr w:type="spellStart"/>
      <w:r w:rsidRPr="00AC5C68">
        <w:rPr>
          <w:rFonts w:ascii="Arial" w:hAnsi="Arial" w:cs="Arial"/>
          <w:sz w:val="20"/>
          <w:szCs w:val="22"/>
          <w:lang w:val="pt-BR"/>
        </w:rPr>
        <w:t>fertilización</w:t>
      </w:r>
      <w:proofErr w:type="spellEnd"/>
      <w:r w:rsidR="00970230" w:rsidRPr="00AC5C68">
        <w:rPr>
          <w:rFonts w:ascii="Arial" w:hAnsi="Arial" w:cs="Arial"/>
          <w:sz w:val="20"/>
          <w:szCs w:val="22"/>
          <w:lang w:val="pt-BR"/>
        </w:rPr>
        <w:t>.</w:t>
      </w:r>
      <w:r w:rsidR="004F5FE9" w:rsidRPr="00AC5C68">
        <w:rPr>
          <w:rFonts w:ascii="Arial" w:hAnsi="Arial" w:cs="Arial"/>
          <w:sz w:val="20"/>
          <w:szCs w:val="22"/>
          <w:lang w:val="pt-BR"/>
        </w:rPr>
        <w:t xml:space="preserve"> </w:t>
      </w:r>
      <w:r w:rsidR="00262099" w:rsidRPr="00AC5C68">
        <w:rPr>
          <w:rFonts w:ascii="Arial" w:hAnsi="Arial" w:cs="Arial"/>
          <w:sz w:val="20"/>
          <w:szCs w:val="22"/>
          <w:lang w:val="pt-BR"/>
        </w:rPr>
        <w:t xml:space="preserve">Dentro de cada cultivo, letras distintas sobre </w:t>
      </w:r>
      <w:proofErr w:type="spellStart"/>
      <w:r w:rsidR="00262099" w:rsidRPr="00AC5C68">
        <w:rPr>
          <w:rFonts w:ascii="Arial" w:hAnsi="Arial" w:cs="Arial"/>
          <w:sz w:val="20"/>
          <w:szCs w:val="22"/>
          <w:lang w:val="pt-BR"/>
        </w:rPr>
        <w:t>las</w:t>
      </w:r>
      <w:proofErr w:type="spellEnd"/>
      <w:r w:rsidR="00262099" w:rsidRPr="00AC5C68">
        <w:rPr>
          <w:rFonts w:ascii="Arial" w:hAnsi="Arial" w:cs="Arial"/>
          <w:sz w:val="20"/>
          <w:szCs w:val="22"/>
          <w:lang w:val="pt-BR"/>
        </w:rPr>
        <w:t xml:space="preserve"> </w:t>
      </w:r>
      <w:proofErr w:type="spellStart"/>
      <w:r w:rsidR="00262099" w:rsidRPr="00AC5C68">
        <w:rPr>
          <w:rFonts w:ascii="Arial" w:hAnsi="Arial" w:cs="Arial"/>
          <w:sz w:val="20"/>
          <w:szCs w:val="22"/>
          <w:lang w:val="pt-BR"/>
        </w:rPr>
        <w:t>columnas</w:t>
      </w:r>
      <w:proofErr w:type="spellEnd"/>
      <w:r w:rsidR="00262099" w:rsidRPr="00AC5C68">
        <w:rPr>
          <w:rFonts w:ascii="Arial" w:hAnsi="Arial" w:cs="Arial"/>
          <w:sz w:val="20"/>
          <w:szCs w:val="22"/>
          <w:lang w:val="pt-BR"/>
        </w:rPr>
        <w:t xml:space="preserve"> </w:t>
      </w:r>
      <w:proofErr w:type="spellStart"/>
      <w:r w:rsidR="00262099" w:rsidRPr="00AC5C68">
        <w:rPr>
          <w:rFonts w:ascii="Arial" w:hAnsi="Arial" w:cs="Arial"/>
          <w:sz w:val="20"/>
          <w:szCs w:val="22"/>
          <w:lang w:val="pt-BR"/>
        </w:rPr>
        <w:t>indican</w:t>
      </w:r>
      <w:proofErr w:type="spellEnd"/>
      <w:r w:rsidR="00262099" w:rsidRPr="00AC5C68">
        <w:rPr>
          <w:rFonts w:ascii="Arial" w:hAnsi="Arial" w:cs="Arial"/>
          <w:sz w:val="20"/>
          <w:szCs w:val="22"/>
          <w:lang w:val="pt-BR"/>
        </w:rPr>
        <w:t xml:space="preserve"> diferencias significativas entre </w:t>
      </w:r>
      <w:proofErr w:type="spellStart"/>
      <w:r w:rsidR="00262099" w:rsidRPr="00AC5C68">
        <w:rPr>
          <w:rFonts w:ascii="Arial" w:hAnsi="Arial" w:cs="Arial"/>
          <w:sz w:val="20"/>
          <w:szCs w:val="22"/>
          <w:lang w:val="pt-BR"/>
        </w:rPr>
        <w:t>tratamientos</w:t>
      </w:r>
      <w:proofErr w:type="spellEnd"/>
      <w:r w:rsidR="00262099" w:rsidRPr="00AC5C68">
        <w:rPr>
          <w:rFonts w:ascii="Arial" w:hAnsi="Arial" w:cs="Arial"/>
          <w:sz w:val="20"/>
          <w:szCs w:val="22"/>
          <w:lang w:val="pt-BR"/>
        </w:rPr>
        <w:t xml:space="preserve">. </w:t>
      </w:r>
      <w:r w:rsidR="00FB722B" w:rsidRPr="0022296B">
        <w:rPr>
          <w:rFonts w:ascii="Arial" w:hAnsi="Arial" w:cs="Arial"/>
          <w:sz w:val="20"/>
          <w:szCs w:val="22"/>
        </w:rPr>
        <w:t>Ensayo de estrategias de fertilizaci</w:t>
      </w:r>
      <w:r w:rsidR="00C51632" w:rsidRPr="0022296B">
        <w:rPr>
          <w:rFonts w:ascii="Arial" w:hAnsi="Arial" w:cs="Arial"/>
          <w:sz w:val="20"/>
          <w:szCs w:val="22"/>
        </w:rPr>
        <w:t>ón en una secuencia de cultivos.</w:t>
      </w:r>
      <w:r w:rsidR="00A96627" w:rsidRPr="0022296B">
        <w:rPr>
          <w:rFonts w:ascii="Arial" w:hAnsi="Arial" w:cs="Arial"/>
          <w:sz w:val="20"/>
          <w:szCs w:val="22"/>
        </w:rPr>
        <w:t xml:space="preserve"> Campaña</w:t>
      </w:r>
      <w:r w:rsidR="00970230">
        <w:rPr>
          <w:rFonts w:ascii="Arial" w:hAnsi="Arial" w:cs="Arial"/>
          <w:sz w:val="20"/>
          <w:szCs w:val="22"/>
        </w:rPr>
        <w:t>s 2006/07 a 201</w:t>
      </w:r>
      <w:r w:rsidR="008714D1">
        <w:rPr>
          <w:rFonts w:ascii="Arial" w:hAnsi="Arial" w:cs="Arial"/>
          <w:sz w:val="20"/>
          <w:szCs w:val="22"/>
        </w:rPr>
        <w:t>9/20</w:t>
      </w:r>
      <w:r w:rsidR="00A96627" w:rsidRPr="0022296B">
        <w:rPr>
          <w:rFonts w:ascii="Arial" w:hAnsi="Arial" w:cs="Arial"/>
          <w:sz w:val="20"/>
          <w:szCs w:val="22"/>
        </w:rPr>
        <w:t>. Arribeños, General Arenales.</w:t>
      </w:r>
      <w:r w:rsidR="00FB722B" w:rsidRPr="0022296B">
        <w:rPr>
          <w:rFonts w:ascii="Arial" w:hAnsi="Arial" w:cs="Arial"/>
          <w:sz w:val="20"/>
          <w:szCs w:val="22"/>
        </w:rPr>
        <w:t xml:space="preserve"> </w:t>
      </w:r>
    </w:p>
    <w:p w:rsidR="008714D1" w:rsidRDefault="008714D1" w:rsidP="00FD706A">
      <w:pPr>
        <w:jc w:val="both"/>
        <w:rPr>
          <w:rFonts w:ascii="Arial" w:hAnsi="Arial" w:cs="Arial"/>
          <w:b/>
          <w:i/>
          <w:sz w:val="22"/>
          <w:szCs w:val="22"/>
          <w:lang w:val="es-ES_tradnl"/>
        </w:rPr>
      </w:pPr>
    </w:p>
    <w:p w:rsidR="008714D1" w:rsidRPr="0022296B" w:rsidRDefault="008714D1" w:rsidP="00FD706A">
      <w:pPr>
        <w:jc w:val="both"/>
        <w:rPr>
          <w:rFonts w:ascii="Arial" w:hAnsi="Arial" w:cs="Arial"/>
          <w:b/>
          <w:i/>
          <w:sz w:val="22"/>
          <w:szCs w:val="22"/>
          <w:lang w:val="es-ES_tradnl"/>
        </w:rPr>
      </w:pPr>
    </w:p>
    <w:p w:rsidR="007468B0" w:rsidRPr="0022296B" w:rsidRDefault="007468B0" w:rsidP="00FD706A">
      <w:pPr>
        <w:numPr>
          <w:ilvl w:val="0"/>
          <w:numId w:val="2"/>
        </w:numPr>
        <w:tabs>
          <w:tab w:val="left" w:pos="284"/>
        </w:tabs>
        <w:ind w:left="0" w:firstLine="0"/>
        <w:jc w:val="both"/>
        <w:rPr>
          <w:rFonts w:ascii="Arial" w:hAnsi="Arial" w:cs="Arial"/>
          <w:b/>
          <w:sz w:val="22"/>
          <w:szCs w:val="22"/>
          <w:lang w:val="es-ES_tradnl"/>
        </w:rPr>
      </w:pPr>
      <w:r w:rsidRPr="0022296B">
        <w:rPr>
          <w:rFonts w:ascii="Arial" w:hAnsi="Arial" w:cs="Arial"/>
          <w:b/>
          <w:sz w:val="22"/>
          <w:szCs w:val="22"/>
          <w:lang w:val="es-ES_tradnl"/>
        </w:rPr>
        <w:t xml:space="preserve">Efectos sobre los rendimientos acumulados, el balance </w:t>
      </w:r>
      <w:r w:rsidR="00417650" w:rsidRPr="0022296B">
        <w:rPr>
          <w:rFonts w:ascii="Arial" w:hAnsi="Arial" w:cs="Arial"/>
          <w:b/>
          <w:sz w:val="22"/>
          <w:szCs w:val="22"/>
          <w:lang w:val="es-ES_tradnl"/>
        </w:rPr>
        <w:t xml:space="preserve">de nutrientes </w:t>
      </w:r>
      <w:r w:rsidRPr="0022296B">
        <w:rPr>
          <w:rFonts w:ascii="Arial" w:hAnsi="Arial" w:cs="Arial"/>
          <w:b/>
          <w:sz w:val="22"/>
          <w:szCs w:val="22"/>
          <w:lang w:val="es-ES_tradnl"/>
        </w:rPr>
        <w:t xml:space="preserve">y </w:t>
      </w:r>
      <w:r w:rsidR="00417650" w:rsidRPr="0022296B">
        <w:rPr>
          <w:rFonts w:ascii="Arial" w:hAnsi="Arial" w:cs="Arial"/>
          <w:b/>
          <w:sz w:val="22"/>
          <w:szCs w:val="22"/>
          <w:lang w:val="es-ES_tradnl"/>
        </w:rPr>
        <w:t>su</w:t>
      </w:r>
      <w:r w:rsidRPr="0022296B">
        <w:rPr>
          <w:rFonts w:ascii="Arial" w:hAnsi="Arial" w:cs="Arial"/>
          <w:b/>
          <w:sz w:val="22"/>
          <w:szCs w:val="22"/>
          <w:lang w:val="es-ES_tradnl"/>
        </w:rPr>
        <w:t xml:space="preserve"> ni</w:t>
      </w:r>
      <w:r w:rsidR="00F909C0" w:rsidRPr="0022296B">
        <w:rPr>
          <w:rFonts w:ascii="Arial" w:hAnsi="Arial" w:cs="Arial"/>
          <w:b/>
          <w:sz w:val="22"/>
          <w:szCs w:val="22"/>
          <w:lang w:val="es-ES_tradnl"/>
        </w:rPr>
        <w:t xml:space="preserve">vel final en el suelo luego de </w:t>
      </w:r>
      <w:r w:rsidR="00F47B83">
        <w:rPr>
          <w:rFonts w:ascii="Arial" w:hAnsi="Arial" w:cs="Arial"/>
          <w:b/>
          <w:sz w:val="22"/>
          <w:szCs w:val="22"/>
          <w:lang w:val="es-ES_tradnl"/>
        </w:rPr>
        <w:t>trece</w:t>
      </w:r>
      <w:r w:rsidRPr="0022296B">
        <w:rPr>
          <w:rFonts w:ascii="Arial" w:hAnsi="Arial" w:cs="Arial"/>
          <w:b/>
          <w:sz w:val="22"/>
          <w:szCs w:val="22"/>
          <w:lang w:val="es-ES_tradnl"/>
        </w:rPr>
        <w:t xml:space="preserve"> años: 2006/07-201</w:t>
      </w:r>
      <w:r w:rsidR="008714D1">
        <w:rPr>
          <w:rFonts w:ascii="Arial" w:hAnsi="Arial" w:cs="Arial"/>
          <w:b/>
          <w:sz w:val="22"/>
          <w:szCs w:val="22"/>
          <w:lang w:val="es-ES_tradnl"/>
        </w:rPr>
        <w:t>9/20</w:t>
      </w:r>
      <w:r w:rsidRPr="0022296B">
        <w:rPr>
          <w:rFonts w:ascii="Arial" w:hAnsi="Arial" w:cs="Arial"/>
          <w:b/>
          <w:sz w:val="22"/>
          <w:szCs w:val="22"/>
          <w:lang w:val="es-ES_tradnl"/>
        </w:rPr>
        <w:t>.</w:t>
      </w:r>
    </w:p>
    <w:p w:rsidR="007468B0" w:rsidRPr="00C0234C" w:rsidRDefault="007468B0" w:rsidP="00FD706A">
      <w:pPr>
        <w:tabs>
          <w:tab w:val="left" w:pos="709"/>
        </w:tabs>
        <w:jc w:val="both"/>
        <w:rPr>
          <w:rFonts w:ascii="Arial" w:hAnsi="Arial" w:cs="Arial"/>
          <w:sz w:val="22"/>
          <w:szCs w:val="22"/>
          <w:lang w:val="es-ES_tradnl"/>
        </w:rPr>
      </w:pPr>
      <w:r w:rsidRPr="0022296B">
        <w:rPr>
          <w:rFonts w:ascii="Arial" w:hAnsi="Arial" w:cs="Arial"/>
          <w:sz w:val="22"/>
          <w:szCs w:val="22"/>
          <w:lang w:val="es-ES_tradnl"/>
        </w:rPr>
        <w:t>La productividad acumulada de la secuencia –</w:t>
      </w:r>
      <w:r w:rsidR="00AC5C68">
        <w:rPr>
          <w:rFonts w:ascii="Arial" w:hAnsi="Arial" w:cs="Arial"/>
          <w:sz w:val="22"/>
          <w:szCs w:val="22"/>
          <w:lang w:val="es-ES_tradnl"/>
        </w:rPr>
        <w:t>dieci</w:t>
      </w:r>
      <w:r w:rsidR="008714D1">
        <w:rPr>
          <w:rFonts w:ascii="Arial" w:hAnsi="Arial" w:cs="Arial"/>
          <w:sz w:val="22"/>
          <w:szCs w:val="22"/>
          <w:lang w:val="es-ES_tradnl"/>
        </w:rPr>
        <w:t>nueve</w:t>
      </w:r>
      <w:r w:rsidRPr="0022296B">
        <w:rPr>
          <w:rFonts w:ascii="Arial" w:hAnsi="Arial" w:cs="Arial"/>
          <w:sz w:val="22"/>
          <w:szCs w:val="22"/>
          <w:lang w:val="es-ES_tradnl"/>
        </w:rPr>
        <w:t xml:space="preserve"> cultivos</w:t>
      </w:r>
      <w:r w:rsidR="00F4664E" w:rsidRPr="0022296B">
        <w:rPr>
          <w:rFonts w:ascii="Arial" w:hAnsi="Arial" w:cs="Arial"/>
          <w:sz w:val="22"/>
          <w:szCs w:val="22"/>
          <w:lang w:val="es-ES_tradnl"/>
        </w:rPr>
        <w:t xml:space="preserve"> en</w:t>
      </w:r>
      <w:r w:rsidRPr="0022296B">
        <w:rPr>
          <w:rFonts w:ascii="Arial" w:hAnsi="Arial" w:cs="Arial"/>
          <w:sz w:val="22"/>
          <w:szCs w:val="22"/>
          <w:lang w:val="es-ES_tradnl"/>
        </w:rPr>
        <w:t xml:space="preserve"> </w:t>
      </w:r>
      <w:r w:rsidR="008714D1">
        <w:rPr>
          <w:rFonts w:ascii="Arial" w:hAnsi="Arial" w:cs="Arial"/>
          <w:sz w:val="22"/>
          <w:szCs w:val="22"/>
          <w:lang w:val="es-ES_tradnl"/>
        </w:rPr>
        <w:t>catorce</w:t>
      </w:r>
      <w:r w:rsidRPr="0022296B">
        <w:rPr>
          <w:rFonts w:ascii="Arial" w:hAnsi="Arial" w:cs="Arial"/>
          <w:sz w:val="22"/>
          <w:szCs w:val="22"/>
          <w:lang w:val="es-ES_tradnl"/>
        </w:rPr>
        <w:t xml:space="preserve"> campañas- mantuvo su tendencia consistente en ampliar la diferencia entre tratamientos conforme el paso del tiempo. Así, mientras el testigo acumuló </w:t>
      </w:r>
      <w:r w:rsidR="008714D1">
        <w:rPr>
          <w:rFonts w:ascii="Arial" w:hAnsi="Arial" w:cs="Arial"/>
          <w:sz w:val="22"/>
          <w:szCs w:val="22"/>
          <w:lang w:val="es-ES_tradnl"/>
        </w:rPr>
        <w:t>72958</w:t>
      </w:r>
      <w:r w:rsidRPr="0022296B">
        <w:rPr>
          <w:rFonts w:ascii="Arial" w:hAnsi="Arial" w:cs="Arial"/>
          <w:sz w:val="22"/>
          <w:szCs w:val="22"/>
          <w:lang w:val="es-ES_tradnl"/>
        </w:rPr>
        <w:t xml:space="preserve"> kg grano ha</w:t>
      </w:r>
      <w:r w:rsidRPr="0022296B">
        <w:rPr>
          <w:rFonts w:ascii="Arial" w:hAnsi="Arial" w:cs="Arial"/>
          <w:sz w:val="22"/>
          <w:szCs w:val="22"/>
          <w:vertAlign w:val="superscript"/>
          <w:lang w:val="es-ES_tradnl"/>
        </w:rPr>
        <w:t>-1</w:t>
      </w:r>
      <w:r w:rsidRPr="0022296B">
        <w:rPr>
          <w:rFonts w:ascii="Arial" w:hAnsi="Arial" w:cs="Arial"/>
          <w:sz w:val="22"/>
          <w:szCs w:val="22"/>
          <w:lang w:val="es-ES_tradnl"/>
        </w:rPr>
        <w:t xml:space="preserve">, el tratamiento </w:t>
      </w:r>
      <w:r w:rsidR="00F4664E" w:rsidRPr="0022296B">
        <w:rPr>
          <w:rFonts w:ascii="Arial" w:hAnsi="Arial" w:cs="Arial"/>
          <w:sz w:val="22"/>
          <w:szCs w:val="22"/>
          <w:lang w:val="es-ES_tradnl"/>
        </w:rPr>
        <w:t xml:space="preserve">T5 </w:t>
      </w:r>
      <w:r w:rsidRPr="0022296B">
        <w:rPr>
          <w:rFonts w:ascii="Arial" w:hAnsi="Arial" w:cs="Arial"/>
          <w:sz w:val="22"/>
          <w:szCs w:val="22"/>
          <w:lang w:val="es-ES_tradnl"/>
        </w:rPr>
        <w:t xml:space="preserve">de reconstrucción llegó a </w:t>
      </w:r>
      <w:r w:rsidR="00AC5C68">
        <w:rPr>
          <w:rFonts w:ascii="Arial" w:hAnsi="Arial" w:cs="Arial"/>
          <w:sz w:val="22"/>
          <w:szCs w:val="22"/>
          <w:lang w:val="es-ES_tradnl"/>
        </w:rPr>
        <w:t>1</w:t>
      </w:r>
      <w:r w:rsidR="008714D1">
        <w:rPr>
          <w:rFonts w:ascii="Arial" w:hAnsi="Arial" w:cs="Arial"/>
          <w:sz w:val="22"/>
          <w:szCs w:val="22"/>
          <w:lang w:val="es-ES_tradnl"/>
        </w:rPr>
        <w:t>29247</w:t>
      </w:r>
      <w:r w:rsidRPr="0022296B">
        <w:rPr>
          <w:rFonts w:ascii="Arial" w:hAnsi="Arial" w:cs="Arial"/>
          <w:sz w:val="22"/>
          <w:szCs w:val="22"/>
          <w:lang w:val="es-ES_tradnl"/>
        </w:rPr>
        <w:t xml:space="preserve"> kg ha</w:t>
      </w:r>
      <w:r w:rsidRPr="0022296B">
        <w:rPr>
          <w:rFonts w:ascii="Arial" w:hAnsi="Arial" w:cs="Arial"/>
          <w:sz w:val="22"/>
          <w:szCs w:val="22"/>
          <w:vertAlign w:val="superscript"/>
          <w:lang w:val="es-ES_tradnl"/>
        </w:rPr>
        <w:t>-1</w:t>
      </w:r>
      <w:r w:rsidRPr="0022296B">
        <w:rPr>
          <w:rFonts w:ascii="Arial" w:hAnsi="Arial" w:cs="Arial"/>
          <w:sz w:val="22"/>
          <w:szCs w:val="22"/>
          <w:lang w:val="es-ES_tradnl"/>
        </w:rPr>
        <w:t>, siend</w:t>
      </w:r>
      <w:r w:rsidR="00ED7538" w:rsidRPr="0022296B">
        <w:rPr>
          <w:rFonts w:ascii="Arial" w:hAnsi="Arial" w:cs="Arial"/>
          <w:sz w:val="22"/>
          <w:szCs w:val="22"/>
          <w:lang w:val="es-ES_tradnl"/>
        </w:rPr>
        <w:t xml:space="preserve">o la brecha de rendimiento de </w:t>
      </w:r>
      <w:r w:rsidR="00AC5C68">
        <w:rPr>
          <w:rFonts w:ascii="Arial" w:hAnsi="Arial" w:cs="Arial"/>
          <w:sz w:val="22"/>
          <w:szCs w:val="22"/>
          <w:lang w:val="es-ES_tradnl"/>
        </w:rPr>
        <w:t>7</w:t>
      </w:r>
      <w:r w:rsidR="008714D1">
        <w:rPr>
          <w:rFonts w:ascii="Arial" w:hAnsi="Arial" w:cs="Arial"/>
          <w:sz w:val="22"/>
          <w:szCs w:val="22"/>
          <w:lang w:val="es-ES_tradnl"/>
        </w:rPr>
        <w:t>7</w:t>
      </w:r>
      <w:r w:rsidR="00AC5C68">
        <w:rPr>
          <w:rFonts w:ascii="Arial" w:hAnsi="Arial" w:cs="Arial"/>
          <w:sz w:val="22"/>
          <w:szCs w:val="22"/>
          <w:lang w:val="es-ES_tradnl"/>
        </w:rPr>
        <w:t>,</w:t>
      </w:r>
      <w:r w:rsidR="008714D1">
        <w:rPr>
          <w:rFonts w:ascii="Arial" w:hAnsi="Arial" w:cs="Arial"/>
          <w:sz w:val="22"/>
          <w:szCs w:val="22"/>
          <w:lang w:val="es-ES_tradnl"/>
        </w:rPr>
        <w:t>2</w:t>
      </w:r>
      <w:r w:rsidRPr="0022296B">
        <w:rPr>
          <w:rFonts w:ascii="Arial" w:hAnsi="Arial" w:cs="Arial"/>
          <w:sz w:val="22"/>
          <w:szCs w:val="22"/>
          <w:lang w:val="es-ES_tradnl"/>
        </w:rPr>
        <w:t>% (</w:t>
      </w:r>
      <w:r w:rsidRPr="0022296B">
        <w:rPr>
          <w:rFonts w:ascii="Arial" w:hAnsi="Arial" w:cs="Arial"/>
          <w:b/>
          <w:sz w:val="22"/>
          <w:szCs w:val="22"/>
          <w:lang w:val="es-ES_tradnl"/>
        </w:rPr>
        <w:t>Figura 2</w:t>
      </w:r>
      <w:r w:rsidRPr="0022296B">
        <w:rPr>
          <w:rFonts w:ascii="Arial" w:hAnsi="Arial" w:cs="Arial"/>
          <w:sz w:val="22"/>
          <w:szCs w:val="22"/>
          <w:lang w:val="es-ES_tradnl"/>
        </w:rPr>
        <w:t xml:space="preserve">). </w:t>
      </w:r>
      <w:r w:rsidR="00BC0FC6">
        <w:rPr>
          <w:rFonts w:ascii="Arial" w:hAnsi="Arial" w:cs="Arial"/>
          <w:sz w:val="22"/>
          <w:szCs w:val="22"/>
          <w:lang w:val="es-ES_tradnl"/>
        </w:rPr>
        <w:t xml:space="preserve">Esta brecha es </w:t>
      </w:r>
      <w:r w:rsidR="00C7440A">
        <w:rPr>
          <w:rFonts w:ascii="Arial" w:hAnsi="Arial" w:cs="Arial"/>
          <w:sz w:val="22"/>
          <w:szCs w:val="22"/>
          <w:lang w:val="es-ES_tradnl"/>
        </w:rPr>
        <w:t xml:space="preserve">superior a la observada por </w:t>
      </w:r>
      <w:proofErr w:type="spellStart"/>
      <w:r w:rsidR="00C7440A">
        <w:rPr>
          <w:rFonts w:ascii="Arial" w:hAnsi="Arial" w:cs="Arial"/>
          <w:sz w:val="22"/>
          <w:szCs w:val="22"/>
          <w:lang w:val="es-ES_tradnl"/>
        </w:rPr>
        <w:t>Correndo</w:t>
      </w:r>
      <w:proofErr w:type="spellEnd"/>
      <w:r w:rsidR="00C7440A">
        <w:rPr>
          <w:rFonts w:ascii="Arial" w:hAnsi="Arial" w:cs="Arial"/>
          <w:sz w:val="22"/>
          <w:szCs w:val="22"/>
          <w:lang w:val="es-ES_tradnl"/>
        </w:rPr>
        <w:t xml:space="preserve"> et al., (2015) en un ensayo de 14 campañas sobre un sitio de buena fertilidad en la secuencia maíz – soja -  trigo/soja. Sin embargo, es inferior a la que estos mismos autores determinaron en un ambiente de menor  fertilidad inicial, cultivado con la secuencia maíz – trigo/soja.</w:t>
      </w:r>
      <w:r w:rsidR="008714D1">
        <w:rPr>
          <w:rFonts w:ascii="Arial" w:hAnsi="Arial" w:cs="Arial"/>
          <w:sz w:val="22"/>
          <w:szCs w:val="22"/>
          <w:lang w:val="es-ES_tradnl"/>
        </w:rPr>
        <w:t xml:space="preserve"> Con igual cultivo, en el año 1 la diferencia de rendimiento (T5-T1) fue de 4603</w:t>
      </w:r>
      <w:r w:rsidR="008714D1" w:rsidRPr="0022296B">
        <w:rPr>
          <w:rFonts w:ascii="Arial" w:hAnsi="Arial" w:cs="Arial"/>
          <w:sz w:val="22"/>
          <w:szCs w:val="22"/>
          <w:lang w:val="es-ES_tradnl"/>
        </w:rPr>
        <w:t xml:space="preserve"> kg grano ha</w:t>
      </w:r>
      <w:r w:rsidR="008714D1" w:rsidRPr="0022296B">
        <w:rPr>
          <w:rFonts w:ascii="Arial" w:hAnsi="Arial" w:cs="Arial"/>
          <w:sz w:val="22"/>
          <w:szCs w:val="22"/>
          <w:vertAlign w:val="superscript"/>
          <w:lang w:val="es-ES_tradnl"/>
        </w:rPr>
        <w:t>-1</w:t>
      </w:r>
      <w:r w:rsidR="008714D1">
        <w:rPr>
          <w:rFonts w:ascii="Arial" w:hAnsi="Arial" w:cs="Arial"/>
          <w:sz w:val="22"/>
          <w:szCs w:val="22"/>
          <w:lang w:val="es-ES_tradnl"/>
        </w:rPr>
        <w:t xml:space="preserve"> (49,5%), mientras que en el año 14 alcanzó a </w:t>
      </w:r>
      <w:r w:rsidR="00C0234C">
        <w:rPr>
          <w:rFonts w:ascii="Arial" w:hAnsi="Arial" w:cs="Arial"/>
          <w:sz w:val="22"/>
          <w:szCs w:val="22"/>
          <w:lang w:val="es-ES_tradnl"/>
        </w:rPr>
        <w:t>8126,5</w:t>
      </w:r>
      <w:r w:rsidR="008714D1" w:rsidRPr="0022296B">
        <w:rPr>
          <w:rFonts w:ascii="Arial" w:hAnsi="Arial" w:cs="Arial"/>
          <w:sz w:val="22"/>
          <w:szCs w:val="22"/>
          <w:lang w:val="es-ES_tradnl"/>
        </w:rPr>
        <w:t xml:space="preserve"> kg grano ha</w:t>
      </w:r>
      <w:r w:rsidR="008714D1" w:rsidRPr="0022296B">
        <w:rPr>
          <w:rFonts w:ascii="Arial" w:hAnsi="Arial" w:cs="Arial"/>
          <w:sz w:val="22"/>
          <w:szCs w:val="22"/>
          <w:vertAlign w:val="superscript"/>
          <w:lang w:val="es-ES_tradnl"/>
        </w:rPr>
        <w:t>-1</w:t>
      </w:r>
      <w:r w:rsidR="00C0234C">
        <w:rPr>
          <w:rFonts w:ascii="Arial" w:hAnsi="Arial" w:cs="Arial"/>
          <w:sz w:val="22"/>
          <w:szCs w:val="22"/>
          <w:lang w:val="es-ES_tradnl"/>
        </w:rPr>
        <w:t xml:space="preserve"> (117,5%).</w:t>
      </w:r>
    </w:p>
    <w:p w:rsidR="00EE391E" w:rsidRPr="0022296B" w:rsidRDefault="00281BCA" w:rsidP="00FD706A">
      <w:pPr>
        <w:jc w:val="center"/>
        <w:rPr>
          <w:rFonts w:ascii="Arial" w:hAnsi="Arial" w:cs="Arial"/>
          <w:b/>
          <w:sz w:val="22"/>
          <w:szCs w:val="22"/>
          <w:lang w:val="es-ES_tradnl"/>
        </w:rPr>
      </w:pPr>
      <w:r>
        <w:rPr>
          <w:noProof/>
        </w:rPr>
        <w:drawing>
          <wp:inline distT="0" distB="0" distL="0" distR="0" wp14:anchorId="26253ECE" wp14:editId="60C7DB2B">
            <wp:extent cx="6359525" cy="5101590"/>
            <wp:effectExtent l="0" t="0" r="0" b="0"/>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468B0" w:rsidRPr="0022296B" w:rsidRDefault="007468B0" w:rsidP="00FD706A">
      <w:pPr>
        <w:jc w:val="both"/>
        <w:rPr>
          <w:rFonts w:ascii="Arial" w:hAnsi="Arial" w:cs="Arial"/>
          <w:sz w:val="20"/>
          <w:szCs w:val="22"/>
          <w:lang w:val="es-ES_tradnl"/>
        </w:rPr>
      </w:pPr>
      <w:r w:rsidRPr="0022296B">
        <w:rPr>
          <w:rFonts w:ascii="Arial" w:hAnsi="Arial" w:cs="Arial"/>
          <w:b/>
          <w:sz w:val="20"/>
          <w:szCs w:val="22"/>
          <w:lang w:val="es-ES_tradnl"/>
        </w:rPr>
        <w:t>Figura 2</w:t>
      </w:r>
      <w:r w:rsidR="00F67DBE" w:rsidRPr="0022296B">
        <w:rPr>
          <w:rFonts w:ascii="Arial" w:hAnsi="Arial" w:cs="Arial"/>
          <w:b/>
          <w:sz w:val="20"/>
          <w:szCs w:val="22"/>
          <w:lang w:val="es-ES_tradnl"/>
        </w:rPr>
        <w:t>.</w:t>
      </w:r>
      <w:r w:rsidRPr="0022296B">
        <w:rPr>
          <w:rFonts w:ascii="Arial" w:hAnsi="Arial" w:cs="Arial"/>
          <w:b/>
          <w:sz w:val="20"/>
          <w:szCs w:val="22"/>
          <w:lang w:val="es-ES_tradnl"/>
        </w:rPr>
        <w:t xml:space="preserve"> </w:t>
      </w:r>
      <w:r w:rsidRPr="0022296B">
        <w:rPr>
          <w:rFonts w:ascii="Arial" w:hAnsi="Arial" w:cs="Arial"/>
          <w:sz w:val="20"/>
          <w:szCs w:val="22"/>
          <w:lang w:val="es-ES_tradnl"/>
        </w:rPr>
        <w:t>Producción por cultivo (kg ha</w:t>
      </w:r>
      <w:r w:rsidRPr="0022296B">
        <w:rPr>
          <w:rFonts w:ascii="Arial" w:hAnsi="Arial" w:cs="Arial"/>
          <w:sz w:val="20"/>
          <w:szCs w:val="22"/>
          <w:vertAlign w:val="superscript"/>
          <w:lang w:val="es-ES_tradnl"/>
        </w:rPr>
        <w:t>-1</w:t>
      </w:r>
      <w:r w:rsidRPr="0022296B">
        <w:rPr>
          <w:rFonts w:ascii="Arial" w:hAnsi="Arial" w:cs="Arial"/>
          <w:sz w:val="20"/>
          <w:szCs w:val="22"/>
          <w:lang w:val="es-ES_tradnl"/>
        </w:rPr>
        <w:t xml:space="preserve">) de diferentes estrategias de fertilización acumulada en una secuencia maíz </w:t>
      </w:r>
      <w:r w:rsidR="00B83646" w:rsidRPr="0022296B">
        <w:rPr>
          <w:rFonts w:ascii="Arial" w:hAnsi="Arial" w:cs="Arial"/>
          <w:sz w:val="20"/>
          <w:szCs w:val="22"/>
          <w:lang w:val="es-ES_tradnl"/>
        </w:rPr>
        <w:t>-</w:t>
      </w:r>
      <w:r w:rsidRPr="0022296B">
        <w:rPr>
          <w:rFonts w:ascii="Arial" w:hAnsi="Arial" w:cs="Arial"/>
          <w:sz w:val="20"/>
          <w:szCs w:val="22"/>
          <w:lang w:val="es-ES_tradnl"/>
        </w:rPr>
        <w:t xml:space="preserve"> soja </w:t>
      </w:r>
      <w:r w:rsidR="00B83646" w:rsidRPr="0022296B">
        <w:rPr>
          <w:rFonts w:ascii="Arial" w:hAnsi="Arial" w:cs="Arial"/>
          <w:sz w:val="20"/>
          <w:szCs w:val="22"/>
          <w:lang w:val="es-ES_tradnl"/>
        </w:rPr>
        <w:t>-</w:t>
      </w:r>
      <w:r w:rsidRPr="0022296B">
        <w:rPr>
          <w:rFonts w:ascii="Arial" w:hAnsi="Arial" w:cs="Arial"/>
          <w:sz w:val="20"/>
          <w:szCs w:val="22"/>
          <w:lang w:val="es-ES_tradnl"/>
        </w:rPr>
        <w:t xml:space="preserve"> trigo/soja</w:t>
      </w:r>
      <w:r w:rsidR="001938FE" w:rsidRPr="0022296B">
        <w:rPr>
          <w:rFonts w:ascii="Arial" w:hAnsi="Arial" w:cs="Arial"/>
          <w:sz w:val="20"/>
          <w:szCs w:val="22"/>
          <w:lang w:val="es-ES_tradnl"/>
        </w:rPr>
        <w:t xml:space="preserve"> </w:t>
      </w:r>
      <w:r w:rsidRPr="0022296B">
        <w:rPr>
          <w:rFonts w:ascii="Arial" w:hAnsi="Arial" w:cs="Arial"/>
          <w:sz w:val="20"/>
          <w:szCs w:val="22"/>
          <w:lang w:val="es-ES_tradnl"/>
        </w:rPr>
        <w:t>-</w:t>
      </w:r>
      <w:r w:rsidR="001938FE" w:rsidRPr="0022296B">
        <w:rPr>
          <w:rFonts w:ascii="Arial" w:hAnsi="Arial" w:cs="Arial"/>
          <w:sz w:val="20"/>
          <w:szCs w:val="22"/>
          <w:lang w:val="es-ES_tradnl"/>
        </w:rPr>
        <w:t xml:space="preserve"> </w:t>
      </w:r>
      <w:r w:rsidRPr="0022296B">
        <w:rPr>
          <w:rFonts w:ascii="Arial" w:hAnsi="Arial" w:cs="Arial"/>
          <w:sz w:val="20"/>
          <w:szCs w:val="22"/>
          <w:lang w:val="es-ES_tradnl"/>
        </w:rPr>
        <w:t xml:space="preserve">cebada/soja </w:t>
      </w:r>
      <w:r w:rsidR="00B83646" w:rsidRPr="0022296B">
        <w:rPr>
          <w:rFonts w:ascii="Arial" w:hAnsi="Arial" w:cs="Arial"/>
          <w:sz w:val="20"/>
          <w:szCs w:val="22"/>
          <w:lang w:val="es-ES_tradnl"/>
        </w:rPr>
        <w:t>-</w:t>
      </w:r>
      <w:r w:rsidRPr="0022296B">
        <w:rPr>
          <w:rFonts w:ascii="Arial" w:hAnsi="Arial" w:cs="Arial"/>
          <w:sz w:val="20"/>
          <w:szCs w:val="22"/>
          <w:lang w:val="es-ES_tradnl"/>
        </w:rPr>
        <w:t xml:space="preserve"> maíz</w:t>
      </w:r>
      <w:r w:rsidR="00B83646" w:rsidRPr="0022296B">
        <w:rPr>
          <w:rFonts w:ascii="Arial" w:hAnsi="Arial" w:cs="Arial"/>
          <w:sz w:val="20"/>
          <w:szCs w:val="22"/>
          <w:lang w:val="es-ES_tradnl"/>
        </w:rPr>
        <w:t xml:space="preserve"> - soja</w:t>
      </w:r>
      <w:r w:rsidRPr="0022296B">
        <w:rPr>
          <w:rFonts w:ascii="Arial" w:hAnsi="Arial" w:cs="Arial"/>
          <w:sz w:val="20"/>
          <w:szCs w:val="22"/>
          <w:lang w:val="es-ES_tradnl"/>
        </w:rPr>
        <w:t>.</w:t>
      </w:r>
      <w:r w:rsidR="001938FE" w:rsidRPr="0022296B">
        <w:rPr>
          <w:rFonts w:ascii="Arial" w:hAnsi="Arial" w:cs="Arial"/>
          <w:sz w:val="20"/>
          <w:szCs w:val="22"/>
          <w:lang w:val="es-ES_tradnl"/>
        </w:rPr>
        <w:t xml:space="preserve"> - cebada/soja</w:t>
      </w:r>
      <w:r w:rsidR="00066324" w:rsidRPr="0022296B">
        <w:rPr>
          <w:rFonts w:ascii="Arial" w:hAnsi="Arial" w:cs="Arial"/>
          <w:sz w:val="20"/>
          <w:szCs w:val="22"/>
          <w:lang w:val="es-ES_tradnl"/>
        </w:rPr>
        <w:t xml:space="preserve"> – trigo/soja</w:t>
      </w:r>
      <w:r w:rsidR="00EA6E3E">
        <w:rPr>
          <w:rFonts w:ascii="Arial" w:hAnsi="Arial" w:cs="Arial"/>
          <w:sz w:val="20"/>
          <w:szCs w:val="22"/>
          <w:lang w:val="es-ES_tradnl"/>
        </w:rPr>
        <w:t xml:space="preserve"> </w:t>
      </w:r>
      <w:r w:rsidR="002207DE">
        <w:rPr>
          <w:rFonts w:ascii="Arial" w:hAnsi="Arial" w:cs="Arial"/>
          <w:sz w:val="20"/>
          <w:szCs w:val="22"/>
          <w:lang w:val="es-ES_tradnl"/>
        </w:rPr>
        <w:t>–</w:t>
      </w:r>
      <w:r w:rsidR="00EA6E3E">
        <w:rPr>
          <w:rFonts w:ascii="Arial" w:hAnsi="Arial" w:cs="Arial"/>
          <w:sz w:val="20"/>
          <w:szCs w:val="22"/>
          <w:lang w:val="es-ES_tradnl"/>
        </w:rPr>
        <w:t xml:space="preserve"> soja</w:t>
      </w:r>
      <w:r w:rsidR="002207DE">
        <w:rPr>
          <w:rFonts w:ascii="Arial" w:hAnsi="Arial" w:cs="Arial"/>
          <w:sz w:val="20"/>
          <w:szCs w:val="22"/>
          <w:lang w:val="es-ES_tradnl"/>
        </w:rPr>
        <w:t xml:space="preserve"> – cebada/soja -maíz</w:t>
      </w:r>
      <w:r w:rsidR="00066324" w:rsidRPr="0022296B">
        <w:rPr>
          <w:rFonts w:ascii="Arial" w:hAnsi="Arial" w:cs="Arial"/>
          <w:sz w:val="20"/>
          <w:szCs w:val="22"/>
          <w:lang w:val="es-ES_tradnl"/>
        </w:rPr>
        <w:t>.</w:t>
      </w:r>
      <w:r w:rsidR="001938FE" w:rsidRPr="0022296B">
        <w:rPr>
          <w:rFonts w:ascii="Arial" w:hAnsi="Arial" w:cs="Arial"/>
          <w:sz w:val="20"/>
          <w:szCs w:val="22"/>
          <w:lang w:val="es-ES_tradnl"/>
        </w:rPr>
        <w:t xml:space="preserve"> </w:t>
      </w:r>
      <w:r w:rsidRPr="0022296B">
        <w:rPr>
          <w:rFonts w:ascii="Arial" w:hAnsi="Arial" w:cs="Arial"/>
          <w:sz w:val="20"/>
          <w:szCs w:val="22"/>
          <w:lang w:val="es-ES_tradnl"/>
        </w:rPr>
        <w:t xml:space="preserve"> Arribeños, General Arenales. Campañas 2006/07 a  20</w:t>
      </w:r>
      <w:r w:rsidR="00066324" w:rsidRPr="0022296B">
        <w:rPr>
          <w:rFonts w:ascii="Arial" w:hAnsi="Arial" w:cs="Arial"/>
          <w:sz w:val="20"/>
          <w:szCs w:val="22"/>
          <w:lang w:val="es-ES_tradnl"/>
        </w:rPr>
        <w:t>1</w:t>
      </w:r>
      <w:r w:rsidR="00C0234C">
        <w:rPr>
          <w:rFonts w:ascii="Arial" w:hAnsi="Arial" w:cs="Arial"/>
          <w:sz w:val="20"/>
          <w:szCs w:val="22"/>
          <w:lang w:val="es-ES_tradnl"/>
        </w:rPr>
        <w:t>9</w:t>
      </w:r>
      <w:r w:rsidRPr="0022296B">
        <w:rPr>
          <w:rFonts w:ascii="Arial" w:hAnsi="Arial" w:cs="Arial"/>
          <w:sz w:val="20"/>
          <w:szCs w:val="22"/>
          <w:lang w:val="es-ES_tradnl"/>
        </w:rPr>
        <w:t>/</w:t>
      </w:r>
      <w:r w:rsidR="00C0234C">
        <w:rPr>
          <w:rFonts w:ascii="Arial" w:hAnsi="Arial" w:cs="Arial"/>
          <w:sz w:val="20"/>
          <w:szCs w:val="22"/>
          <w:lang w:val="es-ES_tradnl"/>
        </w:rPr>
        <w:t>20</w:t>
      </w:r>
      <w:r w:rsidRPr="0022296B">
        <w:rPr>
          <w:rFonts w:ascii="Arial" w:hAnsi="Arial" w:cs="Arial"/>
          <w:sz w:val="20"/>
          <w:szCs w:val="22"/>
          <w:lang w:val="es-ES_tradnl"/>
        </w:rPr>
        <w:t>.</w:t>
      </w:r>
    </w:p>
    <w:p w:rsidR="00B60941" w:rsidRDefault="00B60941" w:rsidP="00FD706A">
      <w:pPr>
        <w:jc w:val="both"/>
        <w:rPr>
          <w:rFonts w:ascii="Arial" w:hAnsi="Arial" w:cs="Arial"/>
          <w:b/>
          <w:sz w:val="22"/>
          <w:szCs w:val="22"/>
          <w:lang w:val="es-ES_tradnl"/>
        </w:rPr>
      </w:pPr>
    </w:p>
    <w:p w:rsidR="00D02CDC" w:rsidRPr="0022296B" w:rsidRDefault="00B83646" w:rsidP="00C0234C">
      <w:pPr>
        <w:jc w:val="both"/>
        <w:rPr>
          <w:rFonts w:ascii="Arial" w:hAnsi="Arial" w:cs="Arial"/>
          <w:sz w:val="22"/>
          <w:szCs w:val="22"/>
          <w:lang w:val="es-ES_tradnl"/>
        </w:rPr>
      </w:pPr>
      <w:r w:rsidRPr="0022296B">
        <w:rPr>
          <w:rFonts w:ascii="Arial" w:hAnsi="Arial" w:cs="Arial"/>
          <w:sz w:val="22"/>
          <w:szCs w:val="22"/>
          <w:lang w:val="es-ES_tradnl"/>
        </w:rPr>
        <w:t>Con los datos de concentración de nutriente</w:t>
      </w:r>
      <w:r w:rsidR="00417650" w:rsidRPr="0022296B">
        <w:rPr>
          <w:rFonts w:ascii="Arial" w:hAnsi="Arial" w:cs="Arial"/>
          <w:sz w:val="22"/>
          <w:szCs w:val="22"/>
          <w:lang w:val="es-ES_tradnl"/>
        </w:rPr>
        <w:t>s</w:t>
      </w:r>
      <w:r w:rsidRPr="0022296B">
        <w:rPr>
          <w:rFonts w:ascii="Arial" w:hAnsi="Arial" w:cs="Arial"/>
          <w:sz w:val="22"/>
          <w:szCs w:val="22"/>
          <w:lang w:val="es-ES_tradnl"/>
        </w:rPr>
        <w:t xml:space="preserve"> en grano, los rendimientos y la dosis aplicada </w:t>
      </w:r>
      <w:r w:rsidR="00C0234C">
        <w:rPr>
          <w:rFonts w:ascii="Arial" w:hAnsi="Arial" w:cs="Arial"/>
          <w:sz w:val="22"/>
          <w:szCs w:val="22"/>
          <w:lang w:val="es-ES_tradnl"/>
        </w:rPr>
        <w:t>en</w:t>
      </w:r>
      <w:r w:rsidR="00417650" w:rsidRPr="0022296B">
        <w:rPr>
          <w:rFonts w:ascii="Arial" w:hAnsi="Arial" w:cs="Arial"/>
          <w:sz w:val="22"/>
          <w:szCs w:val="22"/>
          <w:lang w:val="es-ES_tradnl"/>
        </w:rPr>
        <w:t xml:space="preserve"> cada uno de ellos </w:t>
      </w:r>
      <w:r w:rsidRPr="0022296B">
        <w:rPr>
          <w:rFonts w:ascii="Arial" w:hAnsi="Arial" w:cs="Arial"/>
          <w:sz w:val="22"/>
          <w:szCs w:val="22"/>
          <w:lang w:val="es-ES_tradnl"/>
        </w:rPr>
        <w:t xml:space="preserve">es posible </w:t>
      </w:r>
      <w:r w:rsidR="00F4664E" w:rsidRPr="0022296B">
        <w:rPr>
          <w:rFonts w:ascii="Arial" w:hAnsi="Arial" w:cs="Arial"/>
          <w:sz w:val="22"/>
          <w:szCs w:val="22"/>
          <w:lang w:val="es-ES_tradnl"/>
        </w:rPr>
        <w:t xml:space="preserve">estimar </w:t>
      </w:r>
      <w:r w:rsidRPr="0022296B">
        <w:rPr>
          <w:rFonts w:ascii="Arial" w:hAnsi="Arial" w:cs="Arial"/>
          <w:sz w:val="22"/>
          <w:szCs w:val="22"/>
          <w:lang w:val="es-ES_tradnl"/>
        </w:rPr>
        <w:t>el balance para cada tratamiento (</w:t>
      </w:r>
      <w:r w:rsidRPr="0022296B">
        <w:rPr>
          <w:rFonts w:ascii="Arial" w:hAnsi="Arial" w:cs="Arial"/>
          <w:b/>
          <w:sz w:val="22"/>
          <w:szCs w:val="22"/>
          <w:lang w:val="es-ES_tradnl"/>
        </w:rPr>
        <w:t>Tabla 2</w:t>
      </w:r>
      <w:r w:rsidRPr="0022296B">
        <w:rPr>
          <w:rFonts w:ascii="Arial" w:hAnsi="Arial" w:cs="Arial"/>
          <w:sz w:val="22"/>
          <w:szCs w:val="22"/>
          <w:lang w:val="es-ES_tradnl"/>
        </w:rPr>
        <w:t xml:space="preserve">). El balance de N fue negativo para todas las estrategias, </w:t>
      </w:r>
      <w:r w:rsidR="00F4664E" w:rsidRPr="0022296B">
        <w:rPr>
          <w:rFonts w:ascii="Arial" w:hAnsi="Arial" w:cs="Arial"/>
          <w:sz w:val="22"/>
          <w:szCs w:val="22"/>
          <w:lang w:val="es-ES_tradnl"/>
        </w:rPr>
        <w:t xml:space="preserve">incluso </w:t>
      </w:r>
      <w:r w:rsidRPr="0022296B">
        <w:rPr>
          <w:rFonts w:ascii="Arial" w:hAnsi="Arial" w:cs="Arial"/>
          <w:sz w:val="22"/>
          <w:szCs w:val="22"/>
          <w:lang w:val="es-ES_tradnl"/>
        </w:rPr>
        <w:t>considera</w:t>
      </w:r>
      <w:r w:rsidR="00C63769" w:rsidRPr="0022296B">
        <w:rPr>
          <w:rFonts w:ascii="Arial" w:hAnsi="Arial" w:cs="Arial"/>
          <w:sz w:val="22"/>
          <w:szCs w:val="22"/>
          <w:lang w:val="es-ES_tradnl"/>
        </w:rPr>
        <w:t xml:space="preserve">ndo </w:t>
      </w:r>
      <w:r w:rsidRPr="0022296B">
        <w:rPr>
          <w:rFonts w:ascii="Arial" w:hAnsi="Arial" w:cs="Arial"/>
          <w:sz w:val="22"/>
          <w:szCs w:val="22"/>
          <w:lang w:val="es-ES_tradnl"/>
        </w:rPr>
        <w:t xml:space="preserve">el aporte por fijación biológica (FBN). </w:t>
      </w:r>
      <w:r w:rsidR="00ED7538" w:rsidRPr="0022296B">
        <w:rPr>
          <w:rFonts w:ascii="Arial" w:hAnsi="Arial" w:cs="Arial"/>
          <w:sz w:val="22"/>
          <w:szCs w:val="22"/>
          <w:lang w:val="es-ES_tradnl"/>
        </w:rPr>
        <w:t>Aun</w:t>
      </w:r>
      <w:r w:rsidRPr="0022296B">
        <w:rPr>
          <w:rFonts w:ascii="Arial" w:hAnsi="Arial" w:cs="Arial"/>
          <w:sz w:val="22"/>
          <w:szCs w:val="22"/>
          <w:lang w:val="es-ES_tradnl"/>
        </w:rPr>
        <w:t xml:space="preserve"> ponderando los ingresos vía este mecanismo, </w:t>
      </w:r>
      <w:r w:rsidR="00D02CDC" w:rsidRPr="0022296B">
        <w:rPr>
          <w:rFonts w:ascii="Arial" w:hAnsi="Arial" w:cs="Arial"/>
          <w:sz w:val="22"/>
          <w:szCs w:val="22"/>
          <w:lang w:val="es-ES_tradnl"/>
        </w:rPr>
        <w:t xml:space="preserve">los balances variaron desde </w:t>
      </w:r>
      <w:r w:rsidR="00D02CDC" w:rsidRPr="00AC5C68">
        <w:rPr>
          <w:rFonts w:ascii="Arial" w:hAnsi="Arial" w:cs="Arial"/>
          <w:color w:val="FF0000"/>
          <w:sz w:val="22"/>
          <w:szCs w:val="22"/>
          <w:lang w:val="es-ES_tradnl"/>
        </w:rPr>
        <w:t>-</w:t>
      </w:r>
      <w:r w:rsidR="00C0234C">
        <w:rPr>
          <w:rFonts w:ascii="Arial" w:hAnsi="Arial" w:cs="Arial"/>
          <w:color w:val="FF0000"/>
          <w:sz w:val="22"/>
          <w:szCs w:val="22"/>
          <w:lang w:val="es-ES_tradnl"/>
        </w:rPr>
        <w:t>616</w:t>
      </w:r>
      <w:r w:rsidR="00D02CDC" w:rsidRPr="00AC5C68">
        <w:rPr>
          <w:rFonts w:ascii="Arial" w:hAnsi="Arial" w:cs="Arial"/>
          <w:color w:val="FF0000"/>
          <w:sz w:val="22"/>
          <w:szCs w:val="22"/>
          <w:lang w:val="es-ES_tradnl"/>
        </w:rPr>
        <w:t xml:space="preserve"> a </w:t>
      </w:r>
      <w:r w:rsidR="003C5501" w:rsidRPr="00AC5C68">
        <w:rPr>
          <w:rFonts w:ascii="Arial" w:hAnsi="Arial" w:cs="Arial"/>
          <w:color w:val="FF0000"/>
          <w:sz w:val="22"/>
          <w:szCs w:val="22"/>
          <w:lang w:val="es-ES_tradnl"/>
        </w:rPr>
        <w:t>-</w:t>
      </w:r>
      <w:r w:rsidR="00C0234C">
        <w:rPr>
          <w:rFonts w:ascii="Arial" w:hAnsi="Arial" w:cs="Arial"/>
          <w:color w:val="FF0000"/>
          <w:sz w:val="22"/>
          <w:szCs w:val="22"/>
          <w:lang w:val="es-ES_tradnl"/>
        </w:rPr>
        <w:t>914</w:t>
      </w:r>
      <w:r w:rsidR="00D02CDC" w:rsidRPr="00AC5C68">
        <w:rPr>
          <w:rFonts w:ascii="Arial" w:hAnsi="Arial" w:cs="Arial"/>
          <w:color w:val="FF0000"/>
          <w:sz w:val="22"/>
          <w:szCs w:val="22"/>
          <w:lang w:val="es-ES_tradnl"/>
        </w:rPr>
        <w:t xml:space="preserve"> </w:t>
      </w:r>
      <w:r w:rsidR="00D02CDC" w:rsidRPr="0022296B">
        <w:rPr>
          <w:rFonts w:ascii="Arial" w:hAnsi="Arial" w:cs="Arial"/>
          <w:sz w:val="22"/>
          <w:szCs w:val="22"/>
          <w:lang w:val="es-ES_tradnl"/>
        </w:rPr>
        <w:t>kg N ha</w:t>
      </w:r>
      <w:r w:rsidR="002824E4" w:rsidRPr="0022296B">
        <w:rPr>
          <w:rFonts w:ascii="Arial" w:hAnsi="Arial" w:cs="Arial"/>
          <w:sz w:val="22"/>
          <w:szCs w:val="22"/>
          <w:vertAlign w:val="superscript"/>
          <w:lang w:val="es-ES_tradnl"/>
        </w:rPr>
        <w:t>-1</w:t>
      </w:r>
      <w:r w:rsidRPr="0022296B">
        <w:rPr>
          <w:rFonts w:ascii="Arial" w:hAnsi="Arial" w:cs="Arial"/>
          <w:sz w:val="22"/>
          <w:szCs w:val="22"/>
          <w:lang w:val="es-ES_tradnl"/>
        </w:rPr>
        <w:t xml:space="preserve">. </w:t>
      </w:r>
      <w:r w:rsidR="00D02CDC" w:rsidRPr="0022296B">
        <w:rPr>
          <w:rFonts w:ascii="Arial" w:hAnsi="Arial" w:cs="Arial"/>
          <w:sz w:val="22"/>
          <w:szCs w:val="22"/>
          <w:lang w:val="es-ES_tradnl"/>
        </w:rPr>
        <w:t xml:space="preserve">Aunque el balance </w:t>
      </w:r>
      <w:r w:rsidR="00D02CDC" w:rsidRPr="0022296B">
        <w:rPr>
          <w:rFonts w:ascii="Arial" w:hAnsi="Arial" w:cs="Arial"/>
          <w:sz w:val="22"/>
          <w:szCs w:val="22"/>
          <w:lang w:val="es-ES_tradnl"/>
        </w:rPr>
        <w:lastRenderedPageBreak/>
        <w:t xml:space="preserve">de N en los cultivos de gramíneas tiende a ser neutro o positivo (datos no mostrados), el cultivo de soja -al no </w:t>
      </w:r>
      <w:r w:rsidR="003A50EA">
        <w:rPr>
          <w:rFonts w:ascii="Arial" w:hAnsi="Arial" w:cs="Arial"/>
          <w:sz w:val="22"/>
          <w:szCs w:val="22"/>
          <w:lang w:val="es-ES_tradnl"/>
        </w:rPr>
        <w:t>agregar</w:t>
      </w:r>
      <w:r w:rsidR="00D02CDC" w:rsidRPr="0022296B">
        <w:rPr>
          <w:rFonts w:ascii="Arial" w:hAnsi="Arial" w:cs="Arial"/>
          <w:sz w:val="22"/>
          <w:szCs w:val="22"/>
          <w:lang w:val="es-ES_tradnl"/>
        </w:rPr>
        <w:t xml:space="preserve"> N</w:t>
      </w:r>
      <w:r w:rsidR="003A50EA">
        <w:rPr>
          <w:rFonts w:ascii="Arial" w:hAnsi="Arial" w:cs="Arial"/>
          <w:sz w:val="22"/>
          <w:szCs w:val="22"/>
          <w:lang w:val="es-ES_tradnl"/>
        </w:rPr>
        <w:t xml:space="preserve"> externo</w:t>
      </w:r>
      <w:r w:rsidR="00D02CDC" w:rsidRPr="0022296B">
        <w:rPr>
          <w:rFonts w:ascii="Arial" w:hAnsi="Arial" w:cs="Arial"/>
          <w:sz w:val="22"/>
          <w:szCs w:val="22"/>
          <w:lang w:val="es-ES_tradnl"/>
        </w:rPr>
        <w:t>- genera los mayores balances negativos, dado que la FBN cubre a</w:t>
      </w:r>
      <w:r w:rsidR="00BD0684" w:rsidRPr="0022296B">
        <w:rPr>
          <w:rFonts w:ascii="Arial" w:hAnsi="Arial" w:cs="Arial"/>
          <w:sz w:val="22"/>
          <w:szCs w:val="22"/>
          <w:lang w:val="es-ES_tradnl"/>
        </w:rPr>
        <w:t>proximadamente</w:t>
      </w:r>
      <w:r w:rsidR="00D02CDC" w:rsidRPr="0022296B">
        <w:rPr>
          <w:rFonts w:ascii="Arial" w:hAnsi="Arial" w:cs="Arial"/>
          <w:sz w:val="22"/>
          <w:szCs w:val="22"/>
          <w:lang w:val="es-ES_tradnl"/>
        </w:rPr>
        <w:t xml:space="preserve"> la mitad de la demanda del cultivo (</w:t>
      </w:r>
      <w:proofErr w:type="spellStart"/>
      <w:r w:rsidR="0026556A" w:rsidRPr="0022296B">
        <w:rPr>
          <w:rFonts w:ascii="Arial" w:hAnsi="Arial" w:cs="Arial"/>
          <w:sz w:val="22"/>
          <w:szCs w:val="22"/>
          <w:lang w:val="es-ES_tradnl"/>
        </w:rPr>
        <w:t>Collino</w:t>
      </w:r>
      <w:proofErr w:type="spellEnd"/>
      <w:r w:rsidR="0026556A" w:rsidRPr="0022296B">
        <w:rPr>
          <w:rFonts w:ascii="Arial" w:hAnsi="Arial" w:cs="Arial"/>
          <w:sz w:val="22"/>
          <w:szCs w:val="22"/>
          <w:lang w:val="es-ES_tradnl"/>
        </w:rPr>
        <w:t xml:space="preserve"> et al., 2007</w:t>
      </w:r>
      <w:proofErr w:type="gramStart"/>
      <w:r w:rsidR="00D02CDC" w:rsidRPr="0022296B">
        <w:rPr>
          <w:rFonts w:ascii="Arial" w:hAnsi="Arial" w:cs="Arial"/>
          <w:sz w:val="22"/>
          <w:szCs w:val="22"/>
          <w:lang w:val="es-ES_tradnl"/>
        </w:rPr>
        <w:t>)</w:t>
      </w:r>
      <w:r w:rsidR="00C0234C">
        <w:rPr>
          <w:rFonts w:ascii="Arial" w:hAnsi="Arial" w:cs="Arial"/>
          <w:sz w:val="22"/>
          <w:szCs w:val="22"/>
          <w:lang w:val="es-ES_tradnl"/>
        </w:rPr>
        <w:t>(</w:t>
      </w:r>
      <w:proofErr w:type="gramEnd"/>
      <w:r w:rsidR="00C0234C" w:rsidRPr="00C0234C">
        <w:rPr>
          <w:rFonts w:ascii="Arial" w:hAnsi="Arial" w:cs="Arial"/>
          <w:b/>
          <w:sz w:val="22"/>
          <w:szCs w:val="22"/>
          <w:lang w:val="es-ES_tradnl"/>
        </w:rPr>
        <w:t>Tabla 2</w:t>
      </w:r>
      <w:r w:rsidR="00C0234C">
        <w:rPr>
          <w:rFonts w:ascii="Arial" w:hAnsi="Arial" w:cs="Arial"/>
          <w:sz w:val="22"/>
          <w:szCs w:val="22"/>
          <w:lang w:val="es-ES_tradnl"/>
        </w:rPr>
        <w:t>)</w:t>
      </w:r>
      <w:r w:rsidR="0026556A" w:rsidRPr="0022296B">
        <w:rPr>
          <w:rFonts w:ascii="Arial" w:hAnsi="Arial" w:cs="Arial"/>
          <w:sz w:val="22"/>
          <w:szCs w:val="22"/>
          <w:lang w:val="es-ES_tradnl"/>
        </w:rPr>
        <w:t>.</w:t>
      </w:r>
    </w:p>
    <w:p w:rsidR="00FB2F79" w:rsidRPr="0022296B" w:rsidRDefault="0076440A" w:rsidP="00FD706A">
      <w:pPr>
        <w:jc w:val="both"/>
        <w:rPr>
          <w:rFonts w:ascii="Arial" w:hAnsi="Arial" w:cs="Arial"/>
          <w:b/>
          <w:sz w:val="22"/>
          <w:szCs w:val="22"/>
          <w:lang w:val="es-ES_tradnl"/>
        </w:rPr>
      </w:pPr>
      <w:r w:rsidRPr="0022296B">
        <w:rPr>
          <w:rFonts w:ascii="Arial" w:hAnsi="Arial" w:cs="Arial"/>
          <w:sz w:val="22"/>
          <w:szCs w:val="22"/>
          <w:lang w:val="es-ES_tradnl"/>
        </w:rPr>
        <w:t>En P y S, los tratamientos testigo y de tecnología de uso actual (T1, T2) reflejaron un balance negativo, mientras que en aquellos de reposición se sobreestimó la extracción del nutriente dando como resultado un balance positivo (T3, T4, T5) (</w:t>
      </w:r>
      <w:r w:rsidRPr="0022296B">
        <w:rPr>
          <w:rFonts w:ascii="Arial" w:hAnsi="Arial" w:cs="Arial"/>
          <w:b/>
          <w:sz w:val="22"/>
          <w:szCs w:val="22"/>
          <w:lang w:val="es-ES_tradnl"/>
        </w:rPr>
        <w:t>Tabla 2</w:t>
      </w:r>
      <w:r w:rsidRPr="0022296B">
        <w:rPr>
          <w:rFonts w:ascii="Arial" w:hAnsi="Arial" w:cs="Arial"/>
          <w:sz w:val="22"/>
          <w:szCs w:val="22"/>
          <w:lang w:val="es-ES_tradnl"/>
        </w:rPr>
        <w:t>).</w:t>
      </w:r>
      <w:r w:rsidR="00FB094B">
        <w:rPr>
          <w:rFonts w:ascii="Arial" w:hAnsi="Arial" w:cs="Arial"/>
          <w:sz w:val="22"/>
          <w:szCs w:val="22"/>
          <w:lang w:val="es-ES_tradnl"/>
        </w:rPr>
        <w:t xml:space="preserve"> </w:t>
      </w:r>
      <w:r w:rsidR="00B617D3">
        <w:rPr>
          <w:rFonts w:ascii="Arial" w:hAnsi="Arial" w:cs="Arial"/>
          <w:sz w:val="22"/>
          <w:szCs w:val="22"/>
          <w:lang w:val="es-ES_tradnl"/>
        </w:rPr>
        <w:t xml:space="preserve">Esto estaría asociado a concentraciones en grano inferiores a las inicialmente estimadas. </w:t>
      </w:r>
      <w:r w:rsidR="00FB094B">
        <w:rPr>
          <w:rFonts w:ascii="Arial" w:hAnsi="Arial" w:cs="Arial"/>
          <w:sz w:val="22"/>
          <w:szCs w:val="22"/>
          <w:lang w:val="es-ES_tradnl"/>
        </w:rPr>
        <w:t xml:space="preserve">A modo de ejemplo, la concentración de tendencia de P en grano de soja en nuestro experimento fue de 0,42 %, frente al valor medio sugerido de 0,5 % (IPNI, 2013). </w:t>
      </w:r>
      <w:r w:rsidR="00B617D3">
        <w:rPr>
          <w:rFonts w:ascii="Arial" w:hAnsi="Arial" w:cs="Arial"/>
          <w:sz w:val="22"/>
          <w:szCs w:val="22"/>
          <w:lang w:val="es-ES_tradnl"/>
        </w:rPr>
        <w:t xml:space="preserve">Un balance positivo de P a causa de concentraciones de P en grano inferiores a los valores tabulados </w:t>
      </w:r>
      <w:r w:rsidR="00CD1F91">
        <w:rPr>
          <w:rFonts w:ascii="Arial" w:hAnsi="Arial" w:cs="Arial"/>
          <w:sz w:val="22"/>
          <w:szCs w:val="22"/>
          <w:lang w:val="es-ES_tradnl"/>
        </w:rPr>
        <w:t xml:space="preserve">a partir de los cuales se diseñaron tratamientos de reposición </w:t>
      </w:r>
      <w:r w:rsidR="00B617D3">
        <w:rPr>
          <w:rFonts w:ascii="Arial" w:hAnsi="Arial" w:cs="Arial"/>
          <w:sz w:val="22"/>
          <w:szCs w:val="22"/>
          <w:lang w:val="es-ES_tradnl"/>
        </w:rPr>
        <w:t xml:space="preserve">fue observado por </w:t>
      </w:r>
      <w:proofErr w:type="spellStart"/>
      <w:r w:rsidR="00B617D3">
        <w:rPr>
          <w:rFonts w:ascii="Arial" w:hAnsi="Arial" w:cs="Arial"/>
          <w:sz w:val="22"/>
          <w:szCs w:val="22"/>
          <w:lang w:val="es-ES_tradnl"/>
        </w:rPr>
        <w:t>Ventimiglia</w:t>
      </w:r>
      <w:proofErr w:type="spellEnd"/>
      <w:r w:rsidR="00B617D3">
        <w:rPr>
          <w:rFonts w:ascii="Arial" w:hAnsi="Arial" w:cs="Arial"/>
          <w:sz w:val="22"/>
          <w:szCs w:val="22"/>
          <w:lang w:val="es-ES_tradnl"/>
        </w:rPr>
        <w:t xml:space="preserve"> et al., (2012), quien bajo una secuencia </w:t>
      </w:r>
      <w:r w:rsidR="00CD1F91">
        <w:rPr>
          <w:rFonts w:ascii="Arial" w:hAnsi="Arial" w:cs="Arial"/>
          <w:sz w:val="22"/>
          <w:szCs w:val="22"/>
          <w:lang w:val="es-ES_tradnl"/>
        </w:rPr>
        <w:t xml:space="preserve">de soja </w:t>
      </w:r>
      <w:r w:rsidR="00B617D3">
        <w:rPr>
          <w:rFonts w:ascii="Arial" w:hAnsi="Arial" w:cs="Arial"/>
          <w:sz w:val="22"/>
          <w:szCs w:val="22"/>
          <w:lang w:val="es-ES_tradnl"/>
        </w:rPr>
        <w:t xml:space="preserve">continua determinó una concentración de 0,29 a 0,35% </w:t>
      </w:r>
      <w:r w:rsidR="00CD1F91">
        <w:rPr>
          <w:rFonts w:ascii="Arial" w:hAnsi="Arial" w:cs="Arial"/>
          <w:sz w:val="22"/>
          <w:szCs w:val="22"/>
          <w:lang w:val="es-ES_tradnl"/>
        </w:rPr>
        <w:t xml:space="preserve"> de P </w:t>
      </w:r>
      <w:r w:rsidR="00B617D3">
        <w:rPr>
          <w:rFonts w:ascii="Arial" w:hAnsi="Arial" w:cs="Arial"/>
          <w:sz w:val="22"/>
          <w:szCs w:val="22"/>
          <w:lang w:val="es-ES_tradnl"/>
        </w:rPr>
        <w:t>en grano</w:t>
      </w:r>
      <w:r w:rsidR="00CD1F91">
        <w:rPr>
          <w:rFonts w:ascii="Arial" w:hAnsi="Arial" w:cs="Arial"/>
          <w:sz w:val="22"/>
          <w:szCs w:val="22"/>
          <w:lang w:val="es-ES_tradnl"/>
        </w:rPr>
        <w:t xml:space="preserve">. Por su parte, </w:t>
      </w:r>
      <w:proofErr w:type="spellStart"/>
      <w:r w:rsidR="00CD1F91">
        <w:rPr>
          <w:rFonts w:ascii="Arial" w:hAnsi="Arial" w:cs="Arial"/>
          <w:sz w:val="22"/>
          <w:szCs w:val="22"/>
          <w:lang w:val="es-ES_tradnl"/>
        </w:rPr>
        <w:t>Berardo</w:t>
      </w:r>
      <w:proofErr w:type="spellEnd"/>
      <w:r w:rsidR="00CD1F91">
        <w:rPr>
          <w:rFonts w:ascii="Arial" w:hAnsi="Arial" w:cs="Arial"/>
          <w:sz w:val="22"/>
          <w:szCs w:val="22"/>
          <w:lang w:val="es-ES_tradnl"/>
        </w:rPr>
        <w:t xml:space="preserve">, (2003) propone concentraciones de P en grano de soja de 0,5 % (0,4-0,6), similares a los </w:t>
      </w:r>
      <w:r w:rsidR="00FB094B">
        <w:rPr>
          <w:rFonts w:ascii="Arial" w:hAnsi="Arial" w:cs="Arial"/>
          <w:sz w:val="22"/>
          <w:szCs w:val="22"/>
          <w:lang w:val="es-ES_tradnl"/>
        </w:rPr>
        <w:t xml:space="preserve">máximos </w:t>
      </w:r>
      <w:r w:rsidR="00CD1F91">
        <w:rPr>
          <w:rFonts w:ascii="Arial" w:hAnsi="Arial" w:cs="Arial"/>
          <w:sz w:val="22"/>
          <w:szCs w:val="22"/>
          <w:lang w:val="es-ES_tradnl"/>
        </w:rPr>
        <w:t>observados en</w:t>
      </w:r>
      <w:r w:rsidR="00FB094B">
        <w:rPr>
          <w:rFonts w:ascii="Arial" w:hAnsi="Arial" w:cs="Arial"/>
          <w:sz w:val="22"/>
          <w:szCs w:val="22"/>
          <w:lang w:val="es-ES_tradnl"/>
        </w:rPr>
        <w:t xml:space="preserve"> nuestro experimento.</w:t>
      </w:r>
      <w:r w:rsidR="00CD1F91">
        <w:rPr>
          <w:rFonts w:ascii="Arial" w:hAnsi="Arial" w:cs="Arial"/>
          <w:sz w:val="22"/>
          <w:szCs w:val="22"/>
          <w:lang w:val="es-ES_tradnl"/>
        </w:rPr>
        <w:t xml:space="preserve">   </w:t>
      </w:r>
    </w:p>
    <w:p w:rsidR="005C5C10" w:rsidRDefault="005C5C10" w:rsidP="0033534A">
      <w:pPr>
        <w:jc w:val="both"/>
        <w:rPr>
          <w:rFonts w:ascii="Arial" w:hAnsi="Arial" w:cs="Arial"/>
          <w:b/>
          <w:sz w:val="20"/>
          <w:szCs w:val="22"/>
          <w:lang w:val="es-ES_tradnl"/>
        </w:rPr>
      </w:pPr>
    </w:p>
    <w:p w:rsidR="009B372C" w:rsidRPr="0022296B" w:rsidRDefault="00FB70CC" w:rsidP="0033534A">
      <w:pPr>
        <w:jc w:val="both"/>
        <w:rPr>
          <w:rFonts w:ascii="Arial" w:hAnsi="Arial" w:cs="Arial"/>
          <w:sz w:val="20"/>
          <w:szCs w:val="22"/>
          <w:lang w:val="es-ES_tradnl"/>
        </w:rPr>
      </w:pPr>
      <w:r>
        <w:rPr>
          <w:rFonts w:ascii="Arial" w:hAnsi="Arial" w:cs="Arial"/>
          <w:b/>
          <w:sz w:val="20"/>
          <w:szCs w:val="22"/>
          <w:lang w:val="es-ES_tradnl"/>
        </w:rPr>
        <w:t>T</w:t>
      </w:r>
      <w:r w:rsidR="00B26720" w:rsidRPr="0022296B">
        <w:rPr>
          <w:rFonts w:ascii="Arial" w:hAnsi="Arial" w:cs="Arial"/>
          <w:b/>
          <w:sz w:val="20"/>
          <w:szCs w:val="22"/>
          <w:lang w:val="es-ES_tradnl"/>
        </w:rPr>
        <w:t xml:space="preserve">abla </w:t>
      </w:r>
      <w:r w:rsidR="00C63769" w:rsidRPr="0022296B">
        <w:rPr>
          <w:rFonts w:ascii="Arial" w:hAnsi="Arial" w:cs="Arial"/>
          <w:b/>
          <w:sz w:val="20"/>
          <w:szCs w:val="22"/>
          <w:lang w:val="es-ES_tradnl"/>
        </w:rPr>
        <w:t>2</w:t>
      </w:r>
      <w:r w:rsidR="00F67DBE" w:rsidRPr="0022296B">
        <w:rPr>
          <w:rFonts w:ascii="Arial" w:hAnsi="Arial" w:cs="Arial"/>
          <w:b/>
          <w:sz w:val="20"/>
          <w:szCs w:val="22"/>
          <w:lang w:val="es-ES_tradnl"/>
        </w:rPr>
        <w:t>.</w:t>
      </w:r>
      <w:r w:rsidR="00B26720" w:rsidRPr="0022296B">
        <w:rPr>
          <w:rFonts w:ascii="Arial" w:hAnsi="Arial" w:cs="Arial"/>
          <w:sz w:val="20"/>
          <w:szCs w:val="22"/>
          <w:lang w:val="es-ES_tradnl"/>
        </w:rPr>
        <w:t xml:space="preserve"> Balance de nitrógeno, fósforo y azufre (kg ha</w:t>
      </w:r>
      <w:r w:rsidR="00B26720" w:rsidRPr="0022296B">
        <w:rPr>
          <w:rFonts w:ascii="Arial" w:hAnsi="Arial" w:cs="Arial"/>
          <w:sz w:val="20"/>
          <w:szCs w:val="22"/>
          <w:vertAlign w:val="superscript"/>
          <w:lang w:val="es-ES_tradnl"/>
        </w:rPr>
        <w:t>-1</w:t>
      </w:r>
      <w:r w:rsidR="00B26720" w:rsidRPr="0022296B">
        <w:rPr>
          <w:rFonts w:ascii="Arial" w:hAnsi="Arial" w:cs="Arial"/>
          <w:sz w:val="20"/>
          <w:szCs w:val="22"/>
          <w:lang w:val="es-ES_tradnl"/>
        </w:rPr>
        <w:t>) para los diferentes tratamientos</w:t>
      </w:r>
      <w:r w:rsidR="009B372C" w:rsidRPr="0022296B">
        <w:rPr>
          <w:rFonts w:ascii="Arial" w:hAnsi="Arial" w:cs="Arial"/>
          <w:sz w:val="20"/>
          <w:szCs w:val="22"/>
          <w:lang w:val="es-ES_tradnl"/>
        </w:rPr>
        <w:t xml:space="preserve"> du</w:t>
      </w:r>
      <w:r w:rsidR="005C5C10">
        <w:rPr>
          <w:rFonts w:ascii="Arial" w:hAnsi="Arial" w:cs="Arial"/>
          <w:sz w:val="20"/>
          <w:szCs w:val="22"/>
          <w:lang w:val="es-ES_tradnl"/>
        </w:rPr>
        <w:t xml:space="preserve">rante la secuencia 2006/07 - </w:t>
      </w:r>
      <w:r w:rsidR="00E516B0" w:rsidRPr="0022296B">
        <w:rPr>
          <w:rFonts w:ascii="Arial" w:hAnsi="Arial" w:cs="Arial"/>
          <w:sz w:val="20"/>
          <w:szCs w:val="22"/>
          <w:lang w:val="es-ES_tradnl"/>
        </w:rPr>
        <w:t>201</w:t>
      </w:r>
      <w:r w:rsidR="00D548FC">
        <w:rPr>
          <w:rFonts w:ascii="Arial" w:hAnsi="Arial" w:cs="Arial"/>
          <w:sz w:val="20"/>
          <w:szCs w:val="22"/>
          <w:lang w:val="es-ES_tradnl"/>
        </w:rPr>
        <w:t>7</w:t>
      </w:r>
      <w:r w:rsidR="009B372C" w:rsidRPr="0022296B">
        <w:rPr>
          <w:rFonts w:ascii="Arial" w:hAnsi="Arial" w:cs="Arial"/>
          <w:sz w:val="20"/>
          <w:szCs w:val="22"/>
          <w:lang w:val="es-ES_tradnl"/>
        </w:rPr>
        <w:t>/1</w:t>
      </w:r>
      <w:r w:rsidR="00D548FC">
        <w:rPr>
          <w:rFonts w:ascii="Arial" w:hAnsi="Arial" w:cs="Arial"/>
          <w:sz w:val="20"/>
          <w:szCs w:val="22"/>
          <w:lang w:val="es-ES_tradnl"/>
        </w:rPr>
        <w:t>8</w:t>
      </w:r>
      <w:r w:rsidR="00B26720" w:rsidRPr="0022296B">
        <w:rPr>
          <w:rFonts w:ascii="Arial" w:hAnsi="Arial" w:cs="Arial"/>
          <w:sz w:val="20"/>
          <w:szCs w:val="22"/>
          <w:lang w:val="es-ES_tradnl"/>
        </w:rPr>
        <w:t xml:space="preserve">. Los datos  de rendimiento y </w:t>
      </w:r>
      <w:r w:rsidR="001B2AD8" w:rsidRPr="0022296B">
        <w:rPr>
          <w:rFonts w:ascii="Arial" w:hAnsi="Arial" w:cs="Arial"/>
          <w:sz w:val="20"/>
          <w:szCs w:val="22"/>
          <w:lang w:val="es-ES_tradnl"/>
        </w:rPr>
        <w:t xml:space="preserve">extracción </w:t>
      </w:r>
      <w:r w:rsidR="00B26720" w:rsidRPr="0022296B">
        <w:rPr>
          <w:rFonts w:ascii="Arial" w:hAnsi="Arial" w:cs="Arial"/>
          <w:sz w:val="20"/>
          <w:szCs w:val="22"/>
          <w:lang w:val="es-ES_tradnl"/>
        </w:rPr>
        <w:t xml:space="preserve">de nutrientes en grano fueron ajustados a 13% de humedad.  </w:t>
      </w:r>
      <w:r w:rsidR="009B372C" w:rsidRPr="0022296B">
        <w:rPr>
          <w:rFonts w:ascii="Arial" w:hAnsi="Arial" w:cs="Arial"/>
          <w:sz w:val="20"/>
          <w:szCs w:val="22"/>
          <w:lang w:val="es-ES_tradnl"/>
        </w:rPr>
        <w:t xml:space="preserve">Cuando se pondera el N aportado por </w:t>
      </w:r>
      <w:r w:rsidR="00BD0684" w:rsidRPr="0022296B">
        <w:rPr>
          <w:rFonts w:ascii="Arial" w:hAnsi="Arial" w:cs="Arial"/>
          <w:sz w:val="20"/>
          <w:szCs w:val="22"/>
          <w:lang w:val="es-ES_tradnl"/>
        </w:rPr>
        <w:t>f</w:t>
      </w:r>
      <w:r w:rsidR="009B372C" w:rsidRPr="0022296B">
        <w:rPr>
          <w:rFonts w:ascii="Arial" w:hAnsi="Arial" w:cs="Arial"/>
          <w:sz w:val="20"/>
          <w:szCs w:val="22"/>
          <w:lang w:val="es-ES_tradnl"/>
        </w:rPr>
        <w:t>ijación biológica de N (FBN), s</w:t>
      </w:r>
      <w:r w:rsidR="00B51110" w:rsidRPr="0022296B">
        <w:rPr>
          <w:rFonts w:ascii="Arial" w:hAnsi="Arial" w:cs="Arial"/>
          <w:sz w:val="20"/>
          <w:szCs w:val="22"/>
          <w:lang w:val="es-ES_tradnl"/>
        </w:rPr>
        <w:t>e considera q</w:t>
      </w:r>
      <w:r w:rsidR="00796FC7" w:rsidRPr="0022296B">
        <w:rPr>
          <w:rFonts w:ascii="Arial" w:hAnsi="Arial" w:cs="Arial"/>
          <w:sz w:val="20"/>
          <w:szCs w:val="22"/>
          <w:lang w:val="es-ES_tradnl"/>
        </w:rPr>
        <w:t>ue el 50% en leguminosas</w:t>
      </w:r>
      <w:r w:rsidR="00B51110" w:rsidRPr="0022296B">
        <w:rPr>
          <w:rFonts w:ascii="Arial" w:hAnsi="Arial" w:cs="Arial"/>
          <w:sz w:val="20"/>
          <w:szCs w:val="22"/>
          <w:lang w:val="es-ES_tradnl"/>
        </w:rPr>
        <w:t xml:space="preserve"> proviene de </w:t>
      </w:r>
      <w:r w:rsidR="009B372C" w:rsidRPr="0022296B">
        <w:rPr>
          <w:rFonts w:ascii="Arial" w:hAnsi="Arial" w:cs="Arial"/>
          <w:sz w:val="20"/>
          <w:szCs w:val="22"/>
          <w:lang w:val="es-ES_tradnl"/>
        </w:rPr>
        <w:t>esa fuente.</w:t>
      </w:r>
    </w:p>
    <w:tbl>
      <w:tblPr>
        <w:tblW w:w="4892" w:type="pct"/>
        <w:jc w:val="center"/>
        <w:tblLayout w:type="fixed"/>
        <w:tblCellMar>
          <w:left w:w="70" w:type="dxa"/>
          <w:right w:w="70" w:type="dxa"/>
        </w:tblCellMar>
        <w:tblLook w:val="0000" w:firstRow="0" w:lastRow="0" w:firstColumn="0" w:lastColumn="0" w:noHBand="0" w:noVBand="0"/>
      </w:tblPr>
      <w:tblGrid>
        <w:gridCol w:w="1136"/>
        <w:gridCol w:w="1393"/>
        <w:gridCol w:w="798"/>
        <w:gridCol w:w="644"/>
        <w:gridCol w:w="646"/>
        <w:gridCol w:w="648"/>
        <w:gridCol w:w="648"/>
        <w:gridCol w:w="677"/>
        <w:gridCol w:w="895"/>
        <w:gridCol w:w="757"/>
        <w:gridCol w:w="757"/>
        <w:gridCol w:w="755"/>
      </w:tblGrid>
      <w:tr w:rsidR="00172923" w:rsidRPr="001C0E0A" w:rsidTr="00A105BC">
        <w:trPr>
          <w:trHeight w:val="285"/>
          <w:jc w:val="center"/>
        </w:trPr>
        <w:tc>
          <w:tcPr>
            <w:tcW w:w="582" w:type="pct"/>
            <w:vMerge w:val="restart"/>
            <w:tcBorders>
              <w:top w:val="double" w:sz="6" w:space="0" w:color="auto"/>
              <w:left w:val="double" w:sz="6" w:space="0" w:color="auto"/>
              <w:right w:val="nil"/>
            </w:tcBorders>
            <w:shd w:val="clear" w:color="auto" w:fill="auto"/>
            <w:noWrap/>
            <w:vAlign w:val="center"/>
          </w:tcPr>
          <w:p w:rsidR="00BE056B" w:rsidRPr="001C0E0A" w:rsidRDefault="00BD0684" w:rsidP="00BD0684">
            <w:pPr>
              <w:jc w:val="center"/>
              <w:rPr>
                <w:rFonts w:asciiTheme="minorHAnsi" w:hAnsiTheme="minorHAnsi" w:cs="Arial"/>
                <w:b/>
                <w:bCs/>
                <w:sz w:val="22"/>
                <w:szCs w:val="22"/>
              </w:rPr>
            </w:pPr>
            <w:r w:rsidRPr="001C0E0A">
              <w:rPr>
                <w:rFonts w:asciiTheme="minorHAnsi" w:hAnsiTheme="minorHAnsi" w:cs="Arial"/>
                <w:b/>
                <w:bCs/>
                <w:sz w:val="22"/>
                <w:szCs w:val="22"/>
              </w:rPr>
              <w:t>Trata</w:t>
            </w:r>
          </w:p>
          <w:p w:rsidR="00BD0684" w:rsidRPr="001C0E0A" w:rsidRDefault="00BD0684" w:rsidP="00BD0684">
            <w:pPr>
              <w:jc w:val="center"/>
              <w:rPr>
                <w:rFonts w:asciiTheme="minorHAnsi" w:hAnsiTheme="minorHAnsi" w:cs="Arial"/>
                <w:b/>
                <w:bCs/>
                <w:sz w:val="22"/>
                <w:szCs w:val="22"/>
              </w:rPr>
            </w:pPr>
            <w:r w:rsidRPr="001C0E0A">
              <w:rPr>
                <w:rFonts w:asciiTheme="minorHAnsi" w:hAnsiTheme="minorHAnsi" w:cs="Arial"/>
                <w:b/>
                <w:bCs/>
                <w:sz w:val="22"/>
                <w:szCs w:val="22"/>
              </w:rPr>
              <w:t>miento</w:t>
            </w:r>
          </w:p>
        </w:tc>
        <w:tc>
          <w:tcPr>
            <w:tcW w:w="1784" w:type="pct"/>
            <w:gridSpan w:val="4"/>
            <w:tcBorders>
              <w:top w:val="double" w:sz="6" w:space="0" w:color="auto"/>
              <w:left w:val="single" w:sz="4" w:space="0" w:color="auto"/>
              <w:bottom w:val="double" w:sz="6" w:space="0" w:color="auto"/>
              <w:right w:val="double" w:sz="6" w:space="0" w:color="auto"/>
            </w:tcBorders>
            <w:shd w:val="clear" w:color="auto" w:fill="auto"/>
            <w:noWrap/>
            <w:vAlign w:val="center"/>
          </w:tcPr>
          <w:p w:rsidR="00BD0684" w:rsidRPr="001C0E0A" w:rsidRDefault="00BD0684" w:rsidP="00BD0684">
            <w:pPr>
              <w:jc w:val="center"/>
              <w:rPr>
                <w:rFonts w:asciiTheme="minorHAnsi" w:hAnsiTheme="minorHAnsi" w:cs="Arial"/>
                <w:b/>
                <w:bCs/>
                <w:sz w:val="22"/>
                <w:szCs w:val="22"/>
              </w:rPr>
            </w:pPr>
            <w:r w:rsidRPr="001C0E0A">
              <w:rPr>
                <w:rFonts w:asciiTheme="minorHAnsi" w:hAnsiTheme="minorHAnsi" w:cs="Arial"/>
                <w:b/>
                <w:bCs/>
                <w:sz w:val="22"/>
                <w:szCs w:val="22"/>
              </w:rPr>
              <w:t>Agregado</w:t>
            </w:r>
          </w:p>
          <w:p w:rsidR="00BD0684" w:rsidRPr="001C0E0A" w:rsidRDefault="00BD0684" w:rsidP="00BD0684">
            <w:pPr>
              <w:jc w:val="center"/>
              <w:rPr>
                <w:rFonts w:asciiTheme="minorHAnsi" w:hAnsiTheme="minorHAnsi" w:cs="Arial"/>
                <w:b/>
                <w:bCs/>
                <w:sz w:val="22"/>
                <w:szCs w:val="22"/>
              </w:rPr>
            </w:pPr>
            <w:r w:rsidRPr="001C0E0A">
              <w:rPr>
                <w:rFonts w:asciiTheme="minorHAnsi" w:hAnsiTheme="minorHAnsi" w:cs="Arial"/>
                <w:b/>
                <w:bCs/>
                <w:sz w:val="22"/>
                <w:szCs w:val="22"/>
              </w:rPr>
              <w:t>(kg ha</w:t>
            </w:r>
            <w:r w:rsidRPr="001C0E0A">
              <w:rPr>
                <w:rFonts w:asciiTheme="minorHAnsi" w:hAnsiTheme="minorHAnsi" w:cs="Arial"/>
                <w:b/>
                <w:bCs/>
                <w:sz w:val="22"/>
                <w:szCs w:val="22"/>
                <w:vertAlign w:val="superscript"/>
              </w:rPr>
              <w:t>-1</w:t>
            </w:r>
            <w:r w:rsidRPr="001C0E0A">
              <w:rPr>
                <w:rFonts w:asciiTheme="minorHAnsi" w:hAnsiTheme="minorHAnsi" w:cs="Arial"/>
                <w:b/>
                <w:bCs/>
                <w:sz w:val="22"/>
                <w:szCs w:val="22"/>
              </w:rPr>
              <w:t>)</w:t>
            </w:r>
          </w:p>
        </w:tc>
        <w:tc>
          <w:tcPr>
            <w:tcW w:w="1011" w:type="pct"/>
            <w:gridSpan w:val="3"/>
            <w:tcBorders>
              <w:top w:val="double" w:sz="6" w:space="0" w:color="auto"/>
              <w:left w:val="nil"/>
              <w:bottom w:val="double" w:sz="6" w:space="0" w:color="auto"/>
              <w:right w:val="double" w:sz="6" w:space="0" w:color="auto"/>
            </w:tcBorders>
            <w:vAlign w:val="center"/>
          </w:tcPr>
          <w:p w:rsidR="00BD0684" w:rsidRPr="001C0E0A" w:rsidRDefault="00BD0684" w:rsidP="00BD0684">
            <w:pPr>
              <w:jc w:val="center"/>
              <w:rPr>
                <w:rFonts w:asciiTheme="minorHAnsi" w:hAnsiTheme="minorHAnsi" w:cs="Arial"/>
                <w:b/>
                <w:bCs/>
                <w:sz w:val="22"/>
                <w:szCs w:val="22"/>
              </w:rPr>
            </w:pPr>
            <w:r w:rsidRPr="001C0E0A">
              <w:rPr>
                <w:rFonts w:asciiTheme="minorHAnsi" w:hAnsiTheme="minorHAnsi" w:cs="Arial"/>
                <w:b/>
                <w:bCs/>
                <w:sz w:val="22"/>
                <w:szCs w:val="22"/>
              </w:rPr>
              <w:t>Extracción</w:t>
            </w:r>
          </w:p>
          <w:p w:rsidR="00BD0684" w:rsidRPr="001C0E0A" w:rsidRDefault="00BD0684" w:rsidP="00BD0684">
            <w:pPr>
              <w:jc w:val="center"/>
              <w:rPr>
                <w:rFonts w:asciiTheme="minorHAnsi" w:hAnsiTheme="minorHAnsi" w:cs="Arial"/>
                <w:b/>
                <w:bCs/>
                <w:sz w:val="22"/>
                <w:szCs w:val="22"/>
              </w:rPr>
            </w:pPr>
            <w:r w:rsidRPr="001C0E0A">
              <w:rPr>
                <w:rFonts w:asciiTheme="minorHAnsi" w:hAnsiTheme="minorHAnsi" w:cs="Arial"/>
                <w:b/>
                <w:bCs/>
                <w:sz w:val="22"/>
                <w:szCs w:val="22"/>
              </w:rPr>
              <w:t>(kg ha</w:t>
            </w:r>
            <w:r w:rsidRPr="001C0E0A">
              <w:rPr>
                <w:rFonts w:asciiTheme="minorHAnsi" w:hAnsiTheme="minorHAnsi" w:cs="Arial"/>
                <w:b/>
                <w:bCs/>
                <w:sz w:val="22"/>
                <w:szCs w:val="22"/>
                <w:vertAlign w:val="superscript"/>
              </w:rPr>
              <w:t>-1</w:t>
            </w:r>
            <w:r w:rsidRPr="001C0E0A">
              <w:rPr>
                <w:rFonts w:asciiTheme="minorHAnsi" w:hAnsiTheme="minorHAnsi" w:cs="Arial"/>
                <w:b/>
                <w:bCs/>
                <w:sz w:val="22"/>
                <w:szCs w:val="22"/>
              </w:rPr>
              <w:t>)</w:t>
            </w:r>
          </w:p>
        </w:tc>
        <w:tc>
          <w:tcPr>
            <w:tcW w:w="1622" w:type="pct"/>
            <w:gridSpan w:val="4"/>
            <w:tcBorders>
              <w:top w:val="double" w:sz="6" w:space="0" w:color="auto"/>
              <w:left w:val="nil"/>
              <w:bottom w:val="double" w:sz="6" w:space="0" w:color="auto"/>
              <w:right w:val="double" w:sz="6" w:space="0" w:color="auto"/>
            </w:tcBorders>
            <w:vAlign w:val="center"/>
          </w:tcPr>
          <w:p w:rsidR="00BD0684" w:rsidRPr="001C0E0A" w:rsidRDefault="00BD0684" w:rsidP="00BD0684">
            <w:pPr>
              <w:jc w:val="center"/>
              <w:rPr>
                <w:rFonts w:asciiTheme="minorHAnsi" w:hAnsiTheme="minorHAnsi" w:cs="Arial"/>
                <w:b/>
                <w:bCs/>
                <w:sz w:val="22"/>
                <w:szCs w:val="22"/>
              </w:rPr>
            </w:pPr>
            <w:r w:rsidRPr="001C0E0A">
              <w:rPr>
                <w:rFonts w:asciiTheme="minorHAnsi" w:hAnsiTheme="minorHAnsi" w:cs="Arial"/>
                <w:b/>
                <w:bCs/>
                <w:sz w:val="22"/>
                <w:szCs w:val="22"/>
              </w:rPr>
              <w:t>Balance</w:t>
            </w:r>
          </w:p>
          <w:p w:rsidR="00BD0684" w:rsidRPr="001C0E0A" w:rsidRDefault="00BD0684" w:rsidP="00BD0684">
            <w:pPr>
              <w:jc w:val="center"/>
              <w:rPr>
                <w:rFonts w:asciiTheme="minorHAnsi" w:hAnsiTheme="minorHAnsi" w:cs="Arial"/>
                <w:b/>
                <w:bCs/>
                <w:sz w:val="22"/>
                <w:szCs w:val="22"/>
              </w:rPr>
            </w:pPr>
            <w:r w:rsidRPr="001C0E0A">
              <w:rPr>
                <w:rFonts w:asciiTheme="minorHAnsi" w:hAnsiTheme="minorHAnsi" w:cs="Arial"/>
                <w:b/>
                <w:bCs/>
                <w:sz w:val="22"/>
                <w:szCs w:val="22"/>
              </w:rPr>
              <w:t>(kg ha</w:t>
            </w:r>
            <w:r w:rsidRPr="001C0E0A">
              <w:rPr>
                <w:rFonts w:asciiTheme="minorHAnsi" w:hAnsiTheme="minorHAnsi" w:cs="Arial"/>
                <w:b/>
                <w:bCs/>
                <w:sz w:val="22"/>
                <w:szCs w:val="22"/>
                <w:vertAlign w:val="superscript"/>
              </w:rPr>
              <w:t>-1</w:t>
            </w:r>
            <w:r w:rsidRPr="001C0E0A">
              <w:rPr>
                <w:rFonts w:asciiTheme="minorHAnsi" w:hAnsiTheme="minorHAnsi" w:cs="Arial"/>
                <w:b/>
                <w:bCs/>
                <w:sz w:val="22"/>
                <w:szCs w:val="22"/>
              </w:rPr>
              <w:t>)</w:t>
            </w:r>
          </w:p>
        </w:tc>
      </w:tr>
      <w:tr w:rsidR="00EA6E3E" w:rsidRPr="001C0E0A" w:rsidTr="00A105BC">
        <w:trPr>
          <w:trHeight w:val="285"/>
          <w:jc w:val="center"/>
        </w:trPr>
        <w:tc>
          <w:tcPr>
            <w:tcW w:w="582" w:type="pct"/>
            <w:vMerge/>
            <w:tcBorders>
              <w:left w:val="double" w:sz="6" w:space="0" w:color="auto"/>
              <w:bottom w:val="double" w:sz="6" w:space="0" w:color="auto"/>
              <w:right w:val="nil"/>
            </w:tcBorders>
            <w:shd w:val="clear" w:color="auto" w:fill="auto"/>
            <w:noWrap/>
            <w:vAlign w:val="center"/>
          </w:tcPr>
          <w:p w:rsidR="00BD0684" w:rsidRPr="001C0E0A" w:rsidRDefault="00BD0684" w:rsidP="00BD0684">
            <w:pPr>
              <w:jc w:val="center"/>
              <w:rPr>
                <w:rFonts w:asciiTheme="minorHAnsi" w:hAnsiTheme="minorHAnsi" w:cs="Arial"/>
                <w:b/>
                <w:bCs/>
                <w:sz w:val="22"/>
                <w:szCs w:val="22"/>
              </w:rPr>
            </w:pPr>
          </w:p>
        </w:tc>
        <w:tc>
          <w:tcPr>
            <w:tcW w:w="714" w:type="pct"/>
            <w:tcBorders>
              <w:top w:val="double" w:sz="6" w:space="0" w:color="auto"/>
              <w:left w:val="single" w:sz="4" w:space="0" w:color="auto"/>
              <w:bottom w:val="double" w:sz="6" w:space="0" w:color="auto"/>
              <w:right w:val="single" w:sz="4" w:space="0" w:color="auto"/>
            </w:tcBorders>
            <w:shd w:val="clear" w:color="auto" w:fill="auto"/>
            <w:noWrap/>
            <w:vAlign w:val="center"/>
          </w:tcPr>
          <w:p w:rsidR="00BD0684" w:rsidRPr="001C0E0A" w:rsidRDefault="00BD0684" w:rsidP="00BD0684">
            <w:pPr>
              <w:jc w:val="center"/>
              <w:rPr>
                <w:rFonts w:asciiTheme="minorHAnsi" w:hAnsiTheme="minorHAnsi" w:cs="Arial"/>
                <w:b/>
                <w:bCs/>
                <w:sz w:val="22"/>
                <w:szCs w:val="22"/>
              </w:rPr>
            </w:pPr>
            <w:r w:rsidRPr="001C0E0A">
              <w:rPr>
                <w:rFonts w:asciiTheme="minorHAnsi" w:hAnsiTheme="minorHAnsi" w:cs="Arial"/>
                <w:b/>
                <w:bCs/>
                <w:sz w:val="22"/>
                <w:szCs w:val="22"/>
              </w:rPr>
              <w:t>N</w:t>
            </w:r>
          </w:p>
          <w:p w:rsidR="00BD0684" w:rsidRPr="001C0E0A" w:rsidRDefault="00BD0684" w:rsidP="00BD0684">
            <w:pPr>
              <w:jc w:val="center"/>
              <w:rPr>
                <w:rFonts w:asciiTheme="minorHAnsi" w:hAnsiTheme="minorHAnsi" w:cs="Arial"/>
                <w:b/>
                <w:bCs/>
                <w:sz w:val="22"/>
                <w:szCs w:val="22"/>
              </w:rPr>
            </w:pPr>
            <w:r w:rsidRPr="001C0E0A">
              <w:rPr>
                <w:rFonts w:asciiTheme="minorHAnsi" w:hAnsiTheme="minorHAnsi" w:cs="Arial"/>
                <w:b/>
                <w:bCs/>
                <w:sz w:val="22"/>
                <w:szCs w:val="22"/>
              </w:rPr>
              <w:t>(Fertilizante)</w:t>
            </w:r>
          </w:p>
        </w:tc>
        <w:tc>
          <w:tcPr>
            <w:tcW w:w="409" w:type="pct"/>
            <w:tcBorders>
              <w:top w:val="double" w:sz="6" w:space="0" w:color="auto"/>
              <w:left w:val="single" w:sz="4" w:space="0" w:color="auto"/>
              <w:bottom w:val="double" w:sz="6" w:space="0" w:color="auto"/>
              <w:right w:val="single" w:sz="4" w:space="0" w:color="auto"/>
            </w:tcBorders>
            <w:shd w:val="clear" w:color="auto" w:fill="auto"/>
            <w:vAlign w:val="center"/>
          </w:tcPr>
          <w:p w:rsidR="00BD0684" w:rsidRPr="001C0E0A" w:rsidRDefault="00BD0684" w:rsidP="00BD0684">
            <w:pPr>
              <w:jc w:val="center"/>
              <w:rPr>
                <w:rFonts w:asciiTheme="minorHAnsi" w:hAnsiTheme="minorHAnsi" w:cs="Arial"/>
                <w:b/>
                <w:bCs/>
                <w:sz w:val="22"/>
                <w:szCs w:val="22"/>
              </w:rPr>
            </w:pPr>
            <w:r w:rsidRPr="001C0E0A">
              <w:rPr>
                <w:rFonts w:asciiTheme="minorHAnsi" w:hAnsiTheme="minorHAnsi" w:cs="Arial"/>
                <w:b/>
                <w:bCs/>
                <w:sz w:val="22"/>
                <w:szCs w:val="22"/>
              </w:rPr>
              <w:t>N</w:t>
            </w:r>
          </w:p>
          <w:p w:rsidR="00BD0684" w:rsidRPr="001C0E0A" w:rsidRDefault="00BD0684" w:rsidP="00BD0684">
            <w:pPr>
              <w:jc w:val="center"/>
              <w:rPr>
                <w:rFonts w:asciiTheme="minorHAnsi" w:hAnsiTheme="minorHAnsi" w:cs="Arial"/>
                <w:b/>
                <w:bCs/>
                <w:sz w:val="22"/>
                <w:szCs w:val="22"/>
              </w:rPr>
            </w:pPr>
            <w:r w:rsidRPr="001C0E0A">
              <w:rPr>
                <w:rFonts w:asciiTheme="minorHAnsi" w:hAnsiTheme="minorHAnsi" w:cs="Arial"/>
                <w:b/>
                <w:bCs/>
                <w:sz w:val="22"/>
                <w:szCs w:val="22"/>
              </w:rPr>
              <w:t>(FBN)</w:t>
            </w:r>
          </w:p>
        </w:tc>
        <w:tc>
          <w:tcPr>
            <w:tcW w:w="330" w:type="pct"/>
            <w:tcBorders>
              <w:top w:val="double" w:sz="6" w:space="0" w:color="auto"/>
              <w:left w:val="nil"/>
              <w:bottom w:val="double" w:sz="6" w:space="0" w:color="auto"/>
              <w:right w:val="single" w:sz="4" w:space="0" w:color="auto"/>
            </w:tcBorders>
            <w:shd w:val="clear" w:color="auto" w:fill="auto"/>
            <w:noWrap/>
            <w:vAlign w:val="center"/>
          </w:tcPr>
          <w:p w:rsidR="00BD0684" w:rsidRPr="001C0E0A" w:rsidRDefault="00BD0684" w:rsidP="00BD0684">
            <w:pPr>
              <w:jc w:val="center"/>
              <w:rPr>
                <w:rFonts w:asciiTheme="minorHAnsi" w:hAnsiTheme="minorHAnsi" w:cs="Arial"/>
                <w:b/>
                <w:bCs/>
                <w:sz w:val="22"/>
                <w:szCs w:val="22"/>
              </w:rPr>
            </w:pPr>
            <w:r w:rsidRPr="001C0E0A">
              <w:rPr>
                <w:rFonts w:asciiTheme="minorHAnsi" w:hAnsiTheme="minorHAnsi" w:cs="Arial"/>
                <w:b/>
                <w:bCs/>
                <w:sz w:val="22"/>
                <w:szCs w:val="22"/>
              </w:rPr>
              <w:t>P</w:t>
            </w:r>
          </w:p>
        </w:tc>
        <w:tc>
          <w:tcPr>
            <w:tcW w:w="331" w:type="pct"/>
            <w:tcBorders>
              <w:top w:val="double" w:sz="6" w:space="0" w:color="auto"/>
              <w:left w:val="nil"/>
              <w:bottom w:val="double" w:sz="6" w:space="0" w:color="auto"/>
              <w:right w:val="double" w:sz="6" w:space="0" w:color="auto"/>
            </w:tcBorders>
            <w:shd w:val="clear" w:color="auto" w:fill="auto"/>
            <w:noWrap/>
            <w:vAlign w:val="center"/>
          </w:tcPr>
          <w:p w:rsidR="00BD0684" w:rsidRPr="001C0E0A" w:rsidRDefault="00BD0684" w:rsidP="00BD0684">
            <w:pPr>
              <w:jc w:val="center"/>
              <w:rPr>
                <w:rFonts w:asciiTheme="minorHAnsi" w:hAnsiTheme="minorHAnsi" w:cs="Arial"/>
                <w:b/>
                <w:bCs/>
                <w:sz w:val="22"/>
                <w:szCs w:val="22"/>
              </w:rPr>
            </w:pPr>
            <w:r w:rsidRPr="001C0E0A">
              <w:rPr>
                <w:rFonts w:asciiTheme="minorHAnsi" w:hAnsiTheme="minorHAnsi" w:cs="Arial"/>
                <w:b/>
                <w:bCs/>
                <w:sz w:val="22"/>
                <w:szCs w:val="22"/>
              </w:rPr>
              <w:t>S</w:t>
            </w:r>
          </w:p>
        </w:tc>
        <w:tc>
          <w:tcPr>
            <w:tcW w:w="332" w:type="pct"/>
            <w:tcBorders>
              <w:top w:val="double" w:sz="6" w:space="0" w:color="auto"/>
              <w:left w:val="nil"/>
              <w:bottom w:val="double" w:sz="6" w:space="0" w:color="auto"/>
              <w:right w:val="single" w:sz="4" w:space="0" w:color="auto"/>
            </w:tcBorders>
            <w:vAlign w:val="center"/>
          </w:tcPr>
          <w:p w:rsidR="00BD0684" w:rsidRPr="001C0E0A" w:rsidRDefault="00BD0684" w:rsidP="00BD0684">
            <w:pPr>
              <w:jc w:val="center"/>
              <w:rPr>
                <w:rFonts w:asciiTheme="minorHAnsi" w:hAnsiTheme="minorHAnsi" w:cs="Arial"/>
                <w:b/>
                <w:bCs/>
                <w:sz w:val="22"/>
                <w:szCs w:val="22"/>
              </w:rPr>
            </w:pPr>
            <w:r w:rsidRPr="001C0E0A">
              <w:rPr>
                <w:rFonts w:asciiTheme="minorHAnsi" w:hAnsiTheme="minorHAnsi" w:cs="Arial"/>
                <w:b/>
                <w:bCs/>
                <w:sz w:val="22"/>
                <w:szCs w:val="22"/>
              </w:rPr>
              <w:t>N</w:t>
            </w:r>
          </w:p>
        </w:tc>
        <w:tc>
          <w:tcPr>
            <w:tcW w:w="332" w:type="pct"/>
            <w:tcBorders>
              <w:top w:val="double" w:sz="6" w:space="0" w:color="auto"/>
              <w:left w:val="single" w:sz="4" w:space="0" w:color="auto"/>
              <w:bottom w:val="double" w:sz="6" w:space="0" w:color="auto"/>
              <w:right w:val="single" w:sz="4" w:space="0" w:color="auto"/>
            </w:tcBorders>
            <w:vAlign w:val="center"/>
          </w:tcPr>
          <w:p w:rsidR="00BD0684" w:rsidRPr="001C0E0A" w:rsidRDefault="00BD0684" w:rsidP="00BD0684">
            <w:pPr>
              <w:jc w:val="center"/>
              <w:rPr>
                <w:rFonts w:asciiTheme="minorHAnsi" w:hAnsiTheme="minorHAnsi" w:cs="Arial"/>
                <w:b/>
                <w:bCs/>
                <w:sz w:val="22"/>
                <w:szCs w:val="22"/>
              </w:rPr>
            </w:pPr>
            <w:r w:rsidRPr="001C0E0A">
              <w:rPr>
                <w:rFonts w:asciiTheme="minorHAnsi" w:hAnsiTheme="minorHAnsi" w:cs="Arial"/>
                <w:b/>
                <w:bCs/>
                <w:sz w:val="22"/>
                <w:szCs w:val="22"/>
              </w:rPr>
              <w:t>P</w:t>
            </w:r>
          </w:p>
        </w:tc>
        <w:tc>
          <w:tcPr>
            <w:tcW w:w="347" w:type="pct"/>
            <w:tcBorders>
              <w:top w:val="double" w:sz="6" w:space="0" w:color="auto"/>
              <w:left w:val="single" w:sz="4" w:space="0" w:color="auto"/>
              <w:bottom w:val="double" w:sz="6" w:space="0" w:color="auto"/>
              <w:right w:val="double" w:sz="6" w:space="0" w:color="auto"/>
            </w:tcBorders>
            <w:vAlign w:val="center"/>
          </w:tcPr>
          <w:p w:rsidR="00BD0684" w:rsidRPr="001C0E0A" w:rsidRDefault="00BD0684" w:rsidP="00BD0684">
            <w:pPr>
              <w:jc w:val="center"/>
              <w:rPr>
                <w:rFonts w:asciiTheme="minorHAnsi" w:hAnsiTheme="minorHAnsi" w:cs="Arial"/>
                <w:b/>
                <w:bCs/>
                <w:sz w:val="22"/>
                <w:szCs w:val="22"/>
              </w:rPr>
            </w:pPr>
            <w:r w:rsidRPr="001C0E0A">
              <w:rPr>
                <w:rFonts w:asciiTheme="minorHAnsi" w:hAnsiTheme="minorHAnsi" w:cs="Arial"/>
                <w:b/>
                <w:bCs/>
                <w:sz w:val="22"/>
                <w:szCs w:val="22"/>
              </w:rPr>
              <w:t>S</w:t>
            </w:r>
          </w:p>
        </w:tc>
        <w:tc>
          <w:tcPr>
            <w:tcW w:w="459" w:type="pct"/>
            <w:tcBorders>
              <w:top w:val="double" w:sz="6" w:space="0" w:color="auto"/>
              <w:left w:val="nil"/>
              <w:bottom w:val="double" w:sz="6" w:space="0" w:color="auto"/>
              <w:right w:val="single" w:sz="4" w:space="0" w:color="auto"/>
            </w:tcBorders>
            <w:vAlign w:val="center"/>
          </w:tcPr>
          <w:p w:rsidR="00BD0684" w:rsidRPr="001C0E0A" w:rsidRDefault="00BD0684" w:rsidP="001C0E0A">
            <w:pPr>
              <w:jc w:val="center"/>
              <w:rPr>
                <w:rFonts w:asciiTheme="minorHAnsi" w:hAnsiTheme="minorHAnsi" w:cs="Arial"/>
                <w:b/>
                <w:bCs/>
                <w:sz w:val="22"/>
                <w:szCs w:val="22"/>
              </w:rPr>
            </w:pPr>
            <w:r w:rsidRPr="001C0E0A">
              <w:rPr>
                <w:rFonts w:asciiTheme="minorHAnsi" w:hAnsiTheme="minorHAnsi" w:cs="Arial"/>
                <w:b/>
                <w:bCs/>
                <w:sz w:val="20"/>
                <w:szCs w:val="22"/>
              </w:rPr>
              <w:t>N</w:t>
            </w:r>
            <w:r w:rsidR="001C0E0A">
              <w:rPr>
                <w:rFonts w:asciiTheme="minorHAnsi" w:hAnsiTheme="minorHAnsi" w:cs="Arial"/>
                <w:b/>
                <w:bCs/>
                <w:sz w:val="20"/>
                <w:szCs w:val="22"/>
              </w:rPr>
              <w:t xml:space="preserve"> </w:t>
            </w:r>
            <w:r w:rsidRPr="001C0E0A">
              <w:rPr>
                <w:rFonts w:asciiTheme="minorHAnsi" w:hAnsiTheme="minorHAnsi" w:cs="Arial"/>
                <w:b/>
                <w:bCs/>
                <w:sz w:val="20"/>
                <w:szCs w:val="22"/>
              </w:rPr>
              <w:t>(</w:t>
            </w:r>
            <w:proofErr w:type="spellStart"/>
            <w:r w:rsidRPr="001C0E0A">
              <w:rPr>
                <w:rFonts w:asciiTheme="minorHAnsi" w:hAnsiTheme="minorHAnsi" w:cs="Arial"/>
                <w:b/>
                <w:bCs/>
                <w:sz w:val="20"/>
                <w:szCs w:val="22"/>
              </w:rPr>
              <w:t>Ferti</w:t>
            </w:r>
            <w:proofErr w:type="spellEnd"/>
            <w:r w:rsidR="00864453" w:rsidRPr="001C0E0A">
              <w:rPr>
                <w:rFonts w:asciiTheme="minorHAnsi" w:hAnsiTheme="minorHAnsi" w:cs="Arial"/>
                <w:b/>
                <w:bCs/>
                <w:sz w:val="20"/>
                <w:szCs w:val="22"/>
              </w:rPr>
              <w:t xml:space="preserve">  </w:t>
            </w:r>
            <w:proofErr w:type="spellStart"/>
            <w:r w:rsidRPr="001C0E0A">
              <w:rPr>
                <w:rFonts w:asciiTheme="minorHAnsi" w:hAnsiTheme="minorHAnsi" w:cs="Arial"/>
                <w:b/>
                <w:bCs/>
                <w:sz w:val="20"/>
                <w:szCs w:val="22"/>
              </w:rPr>
              <w:t>lizante</w:t>
            </w:r>
            <w:proofErr w:type="spellEnd"/>
            <w:r w:rsidRPr="001C0E0A">
              <w:rPr>
                <w:rFonts w:asciiTheme="minorHAnsi" w:hAnsiTheme="minorHAnsi" w:cs="Arial"/>
                <w:b/>
                <w:bCs/>
                <w:sz w:val="20"/>
                <w:szCs w:val="22"/>
              </w:rPr>
              <w:t>)</w:t>
            </w:r>
          </w:p>
        </w:tc>
        <w:tc>
          <w:tcPr>
            <w:tcW w:w="388" w:type="pct"/>
            <w:tcBorders>
              <w:top w:val="double" w:sz="6" w:space="0" w:color="auto"/>
              <w:left w:val="single" w:sz="4" w:space="0" w:color="auto"/>
              <w:bottom w:val="double" w:sz="6" w:space="0" w:color="auto"/>
              <w:right w:val="single" w:sz="4" w:space="0" w:color="auto"/>
            </w:tcBorders>
            <w:vAlign w:val="center"/>
          </w:tcPr>
          <w:p w:rsidR="00BD0684" w:rsidRPr="001C0E0A" w:rsidRDefault="00BD0684" w:rsidP="00BD0684">
            <w:pPr>
              <w:jc w:val="center"/>
              <w:rPr>
                <w:rFonts w:asciiTheme="minorHAnsi" w:hAnsiTheme="minorHAnsi" w:cs="Arial"/>
                <w:b/>
                <w:bCs/>
                <w:sz w:val="22"/>
                <w:szCs w:val="22"/>
              </w:rPr>
            </w:pPr>
            <w:r w:rsidRPr="001C0E0A">
              <w:rPr>
                <w:rFonts w:asciiTheme="minorHAnsi" w:hAnsiTheme="minorHAnsi" w:cs="Arial"/>
                <w:b/>
                <w:bCs/>
                <w:sz w:val="22"/>
                <w:szCs w:val="22"/>
              </w:rPr>
              <w:t>N</w:t>
            </w:r>
          </w:p>
          <w:p w:rsidR="00BD0684" w:rsidRPr="001C0E0A" w:rsidRDefault="00BD0684" w:rsidP="00BD0684">
            <w:pPr>
              <w:jc w:val="center"/>
              <w:rPr>
                <w:rFonts w:asciiTheme="minorHAnsi" w:hAnsiTheme="minorHAnsi" w:cs="Arial"/>
                <w:b/>
                <w:bCs/>
                <w:sz w:val="22"/>
                <w:szCs w:val="22"/>
              </w:rPr>
            </w:pPr>
            <w:r w:rsidRPr="001C0E0A">
              <w:rPr>
                <w:rFonts w:asciiTheme="minorHAnsi" w:hAnsiTheme="minorHAnsi" w:cs="Arial"/>
                <w:b/>
                <w:bCs/>
                <w:sz w:val="22"/>
                <w:szCs w:val="22"/>
              </w:rPr>
              <w:t>(FBN)</w:t>
            </w:r>
          </w:p>
        </w:tc>
        <w:tc>
          <w:tcPr>
            <w:tcW w:w="388" w:type="pct"/>
            <w:tcBorders>
              <w:top w:val="double" w:sz="6" w:space="0" w:color="auto"/>
              <w:left w:val="single" w:sz="4" w:space="0" w:color="auto"/>
              <w:bottom w:val="double" w:sz="6" w:space="0" w:color="auto"/>
              <w:right w:val="single" w:sz="4" w:space="0" w:color="auto"/>
            </w:tcBorders>
            <w:vAlign w:val="center"/>
          </w:tcPr>
          <w:p w:rsidR="00BD0684" w:rsidRPr="001C0E0A" w:rsidRDefault="00BD0684" w:rsidP="00BD0684">
            <w:pPr>
              <w:jc w:val="center"/>
              <w:rPr>
                <w:rFonts w:asciiTheme="minorHAnsi" w:hAnsiTheme="minorHAnsi" w:cs="Arial"/>
                <w:b/>
                <w:bCs/>
                <w:sz w:val="22"/>
                <w:szCs w:val="22"/>
              </w:rPr>
            </w:pPr>
            <w:r w:rsidRPr="001C0E0A">
              <w:rPr>
                <w:rFonts w:asciiTheme="minorHAnsi" w:hAnsiTheme="minorHAnsi" w:cs="Arial"/>
                <w:b/>
                <w:bCs/>
                <w:sz w:val="22"/>
                <w:szCs w:val="22"/>
              </w:rPr>
              <w:t>P</w:t>
            </w:r>
          </w:p>
        </w:tc>
        <w:tc>
          <w:tcPr>
            <w:tcW w:w="387" w:type="pct"/>
            <w:tcBorders>
              <w:top w:val="double" w:sz="6" w:space="0" w:color="auto"/>
              <w:left w:val="single" w:sz="4" w:space="0" w:color="auto"/>
              <w:bottom w:val="double" w:sz="6" w:space="0" w:color="auto"/>
              <w:right w:val="double" w:sz="6" w:space="0" w:color="auto"/>
            </w:tcBorders>
            <w:vAlign w:val="center"/>
          </w:tcPr>
          <w:p w:rsidR="00BD0684" w:rsidRPr="001C0E0A" w:rsidRDefault="00BD0684" w:rsidP="00BD0684">
            <w:pPr>
              <w:jc w:val="center"/>
              <w:rPr>
                <w:rFonts w:asciiTheme="minorHAnsi" w:hAnsiTheme="minorHAnsi" w:cs="Arial"/>
                <w:b/>
                <w:bCs/>
                <w:sz w:val="22"/>
                <w:szCs w:val="22"/>
              </w:rPr>
            </w:pPr>
            <w:r w:rsidRPr="001C0E0A">
              <w:rPr>
                <w:rFonts w:asciiTheme="minorHAnsi" w:hAnsiTheme="minorHAnsi" w:cs="Arial"/>
                <w:b/>
                <w:bCs/>
                <w:sz w:val="22"/>
                <w:szCs w:val="22"/>
              </w:rPr>
              <w:t>S</w:t>
            </w:r>
          </w:p>
        </w:tc>
      </w:tr>
      <w:tr w:rsidR="00D76BAE" w:rsidRPr="001C0E0A" w:rsidTr="0071568D">
        <w:trPr>
          <w:trHeight w:val="270"/>
          <w:jc w:val="center"/>
        </w:trPr>
        <w:tc>
          <w:tcPr>
            <w:tcW w:w="582" w:type="pct"/>
            <w:tcBorders>
              <w:top w:val="nil"/>
              <w:left w:val="double" w:sz="6" w:space="0" w:color="auto"/>
              <w:bottom w:val="single" w:sz="4" w:space="0" w:color="auto"/>
              <w:right w:val="nil"/>
            </w:tcBorders>
            <w:shd w:val="clear" w:color="auto" w:fill="auto"/>
            <w:noWrap/>
            <w:vAlign w:val="center"/>
          </w:tcPr>
          <w:p w:rsidR="00D76BAE" w:rsidRPr="001C0E0A" w:rsidRDefault="00D76BAE" w:rsidP="00D76BAE">
            <w:pPr>
              <w:jc w:val="center"/>
              <w:rPr>
                <w:rFonts w:asciiTheme="minorHAnsi" w:hAnsiTheme="minorHAnsi" w:cs="Arial"/>
                <w:sz w:val="20"/>
                <w:szCs w:val="20"/>
              </w:rPr>
            </w:pPr>
            <w:r w:rsidRPr="001C0E0A">
              <w:rPr>
                <w:rFonts w:asciiTheme="minorHAnsi" w:hAnsiTheme="minorHAnsi" w:cs="Arial"/>
                <w:b/>
                <w:bCs/>
                <w:sz w:val="20"/>
                <w:szCs w:val="20"/>
              </w:rPr>
              <w:t>T1</w:t>
            </w:r>
          </w:p>
        </w:tc>
        <w:tc>
          <w:tcPr>
            <w:tcW w:w="714" w:type="pct"/>
            <w:tcBorders>
              <w:top w:val="nil"/>
              <w:left w:val="single" w:sz="4" w:space="0" w:color="auto"/>
              <w:bottom w:val="single" w:sz="4" w:space="0" w:color="auto"/>
              <w:right w:val="single" w:sz="4" w:space="0" w:color="auto"/>
            </w:tcBorders>
            <w:shd w:val="clear" w:color="auto" w:fill="auto"/>
            <w:noWrap/>
            <w:vAlign w:val="bottom"/>
          </w:tcPr>
          <w:p w:rsidR="00D76BAE" w:rsidRPr="00D76BAE" w:rsidRDefault="00D76BAE" w:rsidP="00D76BAE">
            <w:pPr>
              <w:jc w:val="center"/>
              <w:rPr>
                <w:rFonts w:asciiTheme="minorHAnsi" w:hAnsiTheme="minorHAnsi" w:cstheme="minorHAnsi"/>
                <w:b/>
                <w:sz w:val="20"/>
                <w:szCs w:val="20"/>
              </w:rPr>
            </w:pPr>
            <w:r w:rsidRPr="00D76BAE">
              <w:rPr>
                <w:rFonts w:asciiTheme="minorHAnsi" w:hAnsiTheme="minorHAnsi" w:cstheme="minorHAnsi"/>
                <w:b/>
                <w:sz w:val="20"/>
                <w:szCs w:val="20"/>
              </w:rPr>
              <w:t>0</w:t>
            </w:r>
          </w:p>
        </w:tc>
        <w:tc>
          <w:tcPr>
            <w:tcW w:w="409" w:type="pct"/>
            <w:tcBorders>
              <w:top w:val="nil"/>
              <w:left w:val="single" w:sz="4" w:space="0" w:color="auto"/>
              <w:bottom w:val="single" w:sz="4" w:space="0" w:color="auto"/>
              <w:right w:val="single" w:sz="4" w:space="0" w:color="auto"/>
            </w:tcBorders>
            <w:shd w:val="clear" w:color="auto" w:fill="auto"/>
            <w:vAlign w:val="bottom"/>
          </w:tcPr>
          <w:p w:rsidR="00D76BAE" w:rsidRPr="00D76BAE" w:rsidRDefault="00D76BAE" w:rsidP="00D76BAE">
            <w:pPr>
              <w:jc w:val="center"/>
              <w:rPr>
                <w:rFonts w:asciiTheme="minorHAnsi" w:hAnsiTheme="minorHAnsi" w:cstheme="minorHAnsi"/>
                <w:b/>
                <w:sz w:val="20"/>
                <w:szCs w:val="20"/>
              </w:rPr>
            </w:pPr>
            <w:r w:rsidRPr="00D76BAE">
              <w:rPr>
                <w:rFonts w:asciiTheme="minorHAnsi" w:hAnsiTheme="minorHAnsi" w:cstheme="minorHAnsi"/>
                <w:b/>
                <w:sz w:val="20"/>
                <w:szCs w:val="20"/>
              </w:rPr>
              <w:t>806</w:t>
            </w:r>
          </w:p>
        </w:tc>
        <w:tc>
          <w:tcPr>
            <w:tcW w:w="330" w:type="pct"/>
            <w:tcBorders>
              <w:top w:val="double" w:sz="6" w:space="0" w:color="auto"/>
              <w:left w:val="nil"/>
              <w:bottom w:val="single" w:sz="4" w:space="0" w:color="auto"/>
              <w:right w:val="single" w:sz="4" w:space="0" w:color="auto"/>
            </w:tcBorders>
            <w:shd w:val="clear" w:color="auto" w:fill="auto"/>
            <w:noWrap/>
            <w:vAlign w:val="bottom"/>
          </w:tcPr>
          <w:p w:rsidR="00D76BAE" w:rsidRPr="00D76BAE" w:rsidRDefault="00D76BAE" w:rsidP="00D76BAE">
            <w:pPr>
              <w:jc w:val="center"/>
              <w:rPr>
                <w:rFonts w:asciiTheme="minorHAnsi" w:hAnsiTheme="minorHAnsi" w:cstheme="minorHAnsi"/>
                <w:b/>
                <w:sz w:val="20"/>
                <w:szCs w:val="20"/>
              </w:rPr>
            </w:pPr>
            <w:r w:rsidRPr="00D76BAE">
              <w:rPr>
                <w:rFonts w:asciiTheme="minorHAnsi" w:hAnsiTheme="minorHAnsi" w:cstheme="minorHAnsi"/>
                <w:b/>
                <w:sz w:val="20"/>
                <w:szCs w:val="20"/>
              </w:rPr>
              <w:t>0</w:t>
            </w:r>
          </w:p>
        </w:tc>
        <w:tc>
          <w:tcPr>
            <w:tcW w:w="331" w:type="pct"/>
            <w:tcBorders>
              <w:top w:val="double" w:sz="6" w:space="0" w:color="auto"/>
              <w:left w:val="nil"/>
              <w:bottom w:val="single" w:sz="4" w:space="0" w:color="auto"/>
              <w:right w:val="double" w:sz="6" w:space="0" w:color="auto"/>
            </w:tcBorders>
            <w:vAlign w:val="bottom"/>
          </w:tcPr>
          <w:p w:rsidR="00D76BAE" w:rsidRPr="00D76BAE" w:rsidRDefault="00D76BAE" w:rsidP="00D76BAE">
            <w:pPr>
              <w:jc w:val="center"/>
              <w:rPr>
                <w:rFonts w:asciiTheme="minorHAnsi" w:hAnsiTheme="minorHAnsi" w:cstheme="minorHAnsi"/>
                <w:b/>
                <w:sz w:val="20"/>
                <w:szCs w:val="20"/>
              </w:rPr>
            </w:pPr>
            <w:r w:rsidRPr="00D76BAE">
              <w:rPr>
                <w:rFonts w:asciiTheme="minorHAnsi" w:hAnsiTheme="minorHAnsi" w:cstheme="minorHAnsi"/>
                <w:b/>
                <w:sz w:val="20"/>
                <w:szCs w:val="20"/>
              </w:rPr>
              <w:t>0</w:t>
            </w:r>
          </w:p>
        </w:tc>
        <w:tc>
          <w:tcPr>
            <w:tcW w:w="332" w:type="pct"/>
            <w:tcBorders>
              <w:top w:val="double" w:sz="6" w:space="0" w:color="auto"/>
              <w:left w:val="double" w:sz="6" w:space="0" w:color="auto"/>
              <w:bottom w:val="single" w:sz="4" w:space="0" w:color="auto"/>
              <w:right w:val="single" w:sz="4" w:space="0" w:color="auto"/>
            </w:tcBorders>
            <w:vAlign w:val="center"/>
          </w:tcPr>
          <w:p w:rsidR="00D76BAE" w:rsidRPr="00D76BAE" w:rsidRDefault="00D76BAE" w:rsidP="00D76BAE">
            <w:pPr>
              <w:jc w:val="center"/>
              <w:rPr>
                <w:rFonts w:asciiTheme="minorHAnsi" w:hAnsiTheme="minorHAnsi" w:cstheme="minorHAnsi"/>
                <w:b/>
                <w:bCs/>
                <w:sz w:val="20"/>
                <w:szCs w:val="20"/>
              </w:rPr>
            </w:pPr>
            <w:r w:rsidRPr="00D76BAE">
              <w:rPr>
                <w:rFonts w:asciiTheme="minorHAnsi" w:hAnsiTheme="minorHAnsi" w:cstheme="minorHAnsi"/>
                <w:b/>
                <w:bCs/>
                <w:sz w:val="20"/>
                <w:szCs w:val="20"/>
              </w:rPr>
              <w:t>1720</w:t>
            </w:r>
          </w:p>
        </w:tc>
        <w:tc>
          <w:tcPr>
            <w:tcW w:w="332" w:type="pct"/>
            <w:tcBorders>
              <w:top w:val="double" w:sz="6" w:space="0" w:color="auto"/>
              <w:left w:val="single" w:sz="4" w:space="0" w:color="auto"/>
              <w:bottom w:val="single" w:sz="4" w:space="0" w:color="auto"/>
              <w:right w:val="single" w:sz="4" w:space="0" w:color="auto"/>
            </w:tcBorders>
            <w:vAlign w:val="center"/>
          </w:tcPr>
          <w:p w:rsidR="00D76BAE" w:rsidRPr="00D76BAE" w:rsidRDefault="00D76BAE" w:rsidP="00D76BAE">
            <w:pPr>
              <w:jc w:val="center"/>
              <w:rPr>
                <w:rFonts w:asciiTheme="minorHAnsi" w:hAnsiTheme="minorHAnsi" w:cstheme="minorHAnsi"/>
                <w:b/>
                <w:bCs/>
                <w:sz w:val="20"/>
                <w:szCs w:val="20"/>
              </w:rPr>
            </w:pPr>
            <w:r w:rsidRPr="00D76BAE">
              <w:rPr>
                <w:rFonts w:asciiTheme="minorHAnsi" w:hAnsiTheme="minorHAnsi" w:cstheme="minorHAnsi"/>
                <w:b/>
                <w:bCs/>
                <w:sz w:val="20"/>
                <w:szCs w:val="20"/>
              </w:rPr>
              <w:t>182</w:t>
            </w:r>
          </w:p>
        </w:tc>
        <w:tc>
          <w:tcPr>
            <w:tcW w:w="347" w:type="pct"/>
            <w:tcBorders>
              <w:top w:val="double" w:sz="6" w:space="0" w:color="auto"/>
              <w:left w:val="single" w:sz="4" w:space="0" w:color="auto"/>
              <w:bottom w:val="single" w:sz="4" w:space="0" w:color="auto"/>
              <w:right w:val="double" w:sz="6" w:space="0" w:color="auto"/>
            </w:tcBorders>
            <w:vAlign w:val="center"/>
          </w:tcPr>
          <w:p w:rsidR="00D76BAE" w:rsidRPr="00D76BAE" w:rsidRDefault="00D76BAE" w:rsidP="00D76BAE">
            <w:pPr>
              <w:jc w:val="center"/>
              <w:rPr>
                <w:rFonts w:asciiTheme="minorHAnsi" w:hAnsiTheme="minorHAnsi" w:cstheme="minorHAnsi"/>
                <w:b/>
                <w:bCs/>
                <w:sz w:val="20"/>
                <w:szCs w:val="20"/>
              </w:rPr>
            </w:pPr>
            <w:r w:rsidRPr="00D76BAE">
              <w:rPr>
                <w:rFonts w:asciiTheme="minorHAnsi" w:hAnsiTheme="minorHAnsi" w:cstheme="minorHAnsi"/>
                <w:b/>
                <w:bCs/>
                <w:sz w:val="20"/>
                <w:szCs w:val="20"/>
              </w:rPr>
              <w:t>70</w:t>
            </w:r>
          </w:p>
        </w:tc>
        <w:tc>
          <w:tcPr>
            <w:tcW w:w="459" w:type="pct"/>
            <w:tcBorders>
              <w:top w:val="double" w:sz="6" w:space="0" w:color="auto"/>
              <w:left w:val="double" w:sz="6" w:space="0" w:color="auto"/>
              <w:bottom w:val="single" w:sz="4" w:space="0" w:color="auto"/>
              <w:right w:val="single" w:sz="4" w:space="0" w:color="auto"/>
            </w:tcBorders>
            <w:vAlign w:val="bottom"/>
          </w:tcPr>
          <w:p w:rsidR="00D76BAE" w:rsidRPr="00D76BAE" w:rsidRDefault="00D76BAE" w:rsidP="00D76BAE">
            <w:pPr>
              <w:jc w:val="center"/>
              <w:rPr>
                <w:rFonts w:asciiTheme="minorHAnsi" w:hAnsiTheme="minorHAnsi" w:cstheme="minorHAnsi"/>
                <w:b/>
                <w:color w:val="FF0000"/>
                <w:sz w:val="20"/>
                <w:szCs w:val="20"/>
              </w:rPr>
            </w:pPr>
            <w:r w:rsidRPr="00D76BAE">
              <w:rPr>
                <w:rFonts w:asciiTheme="minorHAnsi" w:hAnsiTheme="minorHAnsi" w:cstheme="minorHAnsi"/>
                <w:b/>
                <w:color w:val="FF0000"/>
                <w:sz w:val="20"/>
                <w:szCs w:val="20"/>
              </w:rPr>
              <w:t>-1720</w:t>
            </w:r>
          </w:p>
        </w:tc>
        <w:tc>
          <w:tcPr>
            <w:tcW w:w="388" w:type="pct"/>
            <w:tcBorders>
              <w:top w:val="nil"/>
              <w:left w:val="single" w:sz="4" w:space="0" w:color="auto"/>
              <w:bottom w:val="single" w:sz="4" w:space="0" w:color="auto"/>
              <w:right w:val="single" w:sz="4" w:space="0" w:color="auto"/>
            </w:tcBorders>
            <w:vAlign w:val="bottom"/>
          </w:tcPr>
          <w:p w:rsidR="00D76BAE" w:rsidRPr="00D76BAE" w:rsidRDefault="00D76BAE" w:rsidP="00D76BAE">
            <w:pPr>
              <w:jc w:val="center"/>
              <w:rPr>
                <w:rFonts w:asciiTheme="minorHAnsi" w:hAnsiTheme="minorHAnsi" w:cstheme="minorHAnsi"/>
                <w:b/>
                <w:color w:val="FF0000"/>
                <w:sz w:val="20"/>
                <w:szCs w:val="20"/>
              </w:rPr>
            </w:pPr>
            <w:r w:rsidRPr="00D76BAE">
              <w:rPr>
                <w:rFonts w:asciiTheme="minorHAnsi" w:hAnsiTheme="minorHAnsi" w:cstheme="minorHAnsi"/>
                <w:b/>
                <w:color w:val="FF0000"/>
                <w:sz w:val="20"/>
                <w:szCs w:val="20"/>
              </w:rPr>
              <w:t>-914</w:t>
            </w:r>
          </w:p>
        </w:tc>
        <w:tc>
          <w:tcPr>
            <w:tcW w:w="388" w:type="pct"/>
            <w:tcBorders>
              <w:top w:val="nil"/>
              <w:left w:val="single" w:sz="4" w:space="0" w:color="auto"/>
              <w:bottom w:val="single" w:sz="4" w:space="0" w:color="auto"/>
              <w:right w:val="single" w:sz="4" w:space="0" w:color="auto"/>
            </w:tcBorders>
            <w:vAlign w:val="bottom"/>
          </w:tcPr>
          <w:p w:rsidR="00D76BAE" w:rsidRPr="00D76BAE" w:rsidRDefault="00D76BAE" w:rsidP="00D76BAE">
            <w:pPr>
              <w:jc w:val="center"/>
              <w:rPr>
                <w:rFonts w:asciiTheme="minorHAnsi" w:hAnsiTheme="minorHAnsi" w:cstheme="minorHAnsi"/>
                <w:b/>
                <w:color w:val="FF0000"/>
                <w:sz w:val="20"/>
                <w:szCs w:val="20"/>
              </w:rPr>
            </w:pPr>
            <w:r w:rsidRPr="00D76BAE">
              <w:rPr>
                <w:rFonts w:asciiTheme="minorHAnsi" w:hAnsiTheme="minorHAnsi" w:cstheme="minorHAnsi"/>
                <w:b/>
                <w:color w:val="FF0000"/>
                <w:sz w:val="20"/>
                <w:szCs w:val="20"/>
              </w:rPr>
              <w:t>-182</w:t>
            </w:r>
          </w:p>
        </w:tc>
        <w:tc>
          <w:tcPr>
            <w:tcW w:w="387" w:type="pct"/>
            <w:tcBorders>
              <w:top w:val="nil"/>
              <w:left w:val="single" w:sz="4" w:space="0" w:color="auto"/>
              <w:bottom w:val="single" w:sz="4" w:space="0" w:color="auto"/>
              <w:right w:val="double" w:sz="6" w:space="0" w:color="auto"/>
            </w:tcBorders>
            <w:shd w:val="clear" w:color="auto" w:fill="auto"/>
            <w:noWrap/>
            <w:vAlign w:val="bottom"/>
          </w:tcPr>
          <w:p w:rsidR="00D76BAE" w:rsidRPr="00D76BAE" w:rsidRDefault="00D76BAE" w:rsidP="00D76BAE">
            <w:pPr>
              <w:jc w:val="center"/>
              <w:rPr>
                <w:rFonts w:asciiTheme="minorHAnsi" w:hAnsiTheme="minorHAnsi" w:cstheme="minorHAnsi"/>
                <w:b/>
                <w:color w:val="FF0000"/>
                <w:sz w:val="20"/>
                <w:szCs w:val="20"/>
              </w:rPr>
            </w:pPr>
            <w:r w:rsidRPr="00D76BAE">
              <w:rPr>
                <w:rFonts w:asciiTheme="minorHAnsi" w:hAnsiTheme="minorHAnsi" w:cstheme="minorHAnsi"/>
                <w:b/>
                <w:color w:val="FF0000"/>
                <w:sz w:val="20"/>
                <w:szCs w:val="20"/>
              </w:rPr>
              <w:t>-70</w:t>
            </w:r>
          </w:p>
        </w:tc>
      </w:tr>
      <w:tr w:rsidR="00D76BAE" w:rsidRPr="001C0E0A" w:rsidTr="0071568D">
        <w:trPr>
          <w:trHeight w:val="255"/>
          <w:jc w:val="center"/>
        </w:trPr>
        <w:tc>
          <w:tcPr>
            <w:tcW w:w="582" w:type="pct"/>
            <w:tcBorders>
              <w:top w:val="nil"/>
              <w:left w:val="double" w:sz="6" w:space="0" w:color="auto"/>
              <w:bottom w:val="single" w:sz="4" w:space="0" w:color="auto"/>
              <w:right w:val="nil"/>
            </w:tcBorders>
            <w:shd w:val="clear" w:color="auto" w:fill="auto"/>
            <w:noWrap/>
            <w:vAlign w:val="center"/>
          </w:tcPr>
          <w:p w:rsidR="00D76BAE" w:rsidRPr="001C0E0A" w:rsidRDefault="00D76BAE" w:rsidP="00D76BAE">
            <w:pPr>
              <w:jc w:val="center"/>
              <w:rPr>
                <w:rFonts w:asciiTheme="minorHAnsi" w:hAnsiTheme="minorHAnsi" w:cs="Arial"/>
                <w:b/>
                <w:bCs/>
                <w:sz w:val="20"/>
                <w:szCs w:val="20"/>
              </w:rPr>
            </w:pPr>
            <w:r w:rsidRPr="001C0E0A">
              <w:rPr>
                <w:rFonts w:asciiTheme="minorHAnsi" w:hAnsiTheme="minorHAnsi" w:cs="Arial"/>
                <w:b/>
                <w:bCs/>
                <w:sz w:val="20"/>
                <w:szCs w:val="20"/>
              </w:rPr>
              <w:t>T2</w:t>
            </w:r>
          </w:p>
        </w:tc>
        <w:tc>
          <w:tcPr>
            <w:tcW w:w="714" w:type="pct"/>
            <w:tcBorders>
              <w:top w:val="single" w:sz="4" w:space="0" w:color="auto"/>
              <w:left w:val="single" w:sz="4" w:space="0" w:color="auto"/>
              <w:bottom w:val="single" w:sz="4" w:space="0" w:color="auto"/>
              <w:right w:val="single" w:sz="4" w:space="0" w:color="auto"/>
            </w:tcBorders>
            <w:shd w:val="clear" w:color="auto" w:fill="auto"/>
            <w:noWrap/>
            <w:vAlign w:val="bottom"/>
          </w:tcPr>
          <w:p w:rsidR="00D76BAE" w:rsidRPr="00D76BAE" w:rsidRDefault="00D76BAE" w:rsidP="00D76BAE">
            <w:pPr>
              <w:jc w:val="center"/>
              <w:rPr>
                <w:rFonts w:asciiTheme="minorHAnsi" w:hAnsiTheme="minorHAnsi" w:cstheme="minorHAnsi"/>
                <w:b/>
                <w:sz w:val="20"/>
                <w:szCs w:val="20"/>
              </w:rPr>
            </w:pPr>
            <w:r w:rsidRPr="00D76BAE">
              <w:rPr>
                <w:rFonts w:asciiTheme="minorHAnsi" w:hAnsiTheme="minorHAnsi" w:cstheme="minorHAnsi"/>
                <w:b/>
                <w:sz w:val="20"/>
                <w:szCs w:val="20"/>
              </w:rPr>
              <w:t>460</w:t>
            </w:r>
          </w:p>
        </w:tc>
        <w:tc>
          <w:tcPr>
            <w:tcW w:w="409" w:type="pct"/>
            <w:tcBorders>
              <w:top w:val="single" w:sz="4" w:space="0" w:color="auto"/>
              <w:left w:val="single" w:sz="4" w:space="0" w:color="auto"/>
              <w:bottom w:val="single" w:sz="4" w:space="0" w:color="auto"/>
              <w:right w:val="single" w:sz="4" w:space="0" w:color="auto"/>
            </w:tcBorders>
            <w:shd w:val="clear" w:color="auto" w:fill="auto"/>
            <w:vAlign w:val="bottom"/>
          </w:tcPr>
          <w:p w:rsidR="00D76BAE" w:rsidRPr="00D76BAE" w:rsidRDefault="00D76BAE" w:rsidP="00D76BAE">
            <w:pPr>
              <w:jc w:val="center"/>
              <w:rPr>
                <w:rFonts w:asciiTheme="minorHAnsi" w:hAnsiTheme="minorHAnsi" w:cstheme="minorHAnsi"/>
                <w:b/>
                <w:sz w:val="20"/>
                <w:szCs w:val="20"/>
              </w:rPr>
            </w:pPr>
            <w:r w:rsidRPr="00D76BAE">
              <w:rPr>
                <w:rFonts w:asciiTheme="minorHAnsi" w:hAnsiTheme="minorHAnsi" w:cstheme="minorHAnsi"/>
                <w:b/>
                <w:sz w:val="20"/>
                <w:szCs w:val="20"/>
              </w:rPr>
              <w:t>1047</w:t>
            </w:r>
          </w:p>
        </w:tc>
        <w:tc>
          <w:tcPr>
            <w:tcW w:w="330" w:type="pct"/>
            <w:tcBorders>
              <w:top w:val="single" w:sz="4" w:space="0" w:color="auto"/>
              <w:left w:val="nil"/>
              <w:bottom w:val="single" w:sz="4" w:space="0" w:color="auto"/>
              <w:right w:val="single" w:sz="4" w:space="0" w:color="auto"/>
            </w:tcBorders>
            <w:shd w:val="clear" w:color="auto" w:fill="auto"/>
            <w:noWrap/>
            <w:vAlign w:val="bottom"/>
          </w:tcPr>
          <w:p w:rsidR="00D76BAE" w:rsidRPr="00D76BAE" w:rsidRDefault="00D76BAE" w:rsidP="00D76BAE">
            <w:pPr>
              <w:jc w:val="center"/>
              <w:rPr>
                <w:rFonts w:asciiTheme="minorHAnsi" w:hAnsiTheme="minorHAnsi" w:cstheme="minorHAnsi"/>
                <w:b/>
                <w:sz w:val="20"/>
                <w:szCs w:val="20"/>
              </w:rPr>
            </w:pPr>
            <w:r w:rsidRPr="00D76BAE">
              <w:rPr>
                <w:rFonts w:asciiTheme="minorHAnsi" w:hAnsiTheme="minorHAnsi" w:cstheme="minorHAnsi"/>
                <w:b/>
                <w:sz w:val="20"/>
                <w:szCs w:val="20"/>
              </w:rPr>
              <w:t>224</w:t>
            </w:r>
          </w:p>
        </w:tc>
        <w:tc>
          <w:tcPr>
            <w:tcW w:w="331" w:type="pct"/>
            <w:tcBorders>
              <w:top w:val="single" w:sz="4" w:space="0" w:color="auto"/>
              <w:left w:val="nil"/>
              <w:bottom w:val="single" w:sz="4" w:space="0" w:color="auto"/>
              <w:right w:val="double" w:sz="6" w:space="0" w:color="auto"/>
            </w:tcBorders>
            <w:vAlign w:val="bottom"/>
          </w:tcPr>
          <w:p w:rsidR="00D76BAE" w:rsidRPr="00D76BAE" w:rsidRDefault="00D76BAE" w:rsidP="00D76BAE">
            <w:pPr>
              <w:jc w:val="center"/>
              <w:rPr>
                <w:rFonts w:asciiTheme="minorHAnsi" w:hAnsiTheme="minorHAnsi" w:cstheme="minorHAnsi"/>
                <w:b/>
                <w:sz w:val="20"/>
                <w:szCs w:val="20"/>
              </w:rPr>
            </w:pPr>
            <w:r w:rsidRPr="00D76BAE">
              <w:rPr>
                <w:rFonts w:asciiTheme="minorHAnsi" w:hAnsiTheme="minorHAnsi" w:cstheme="minorHAnsi"/>
                <w:b/>
                <w:sz w:val="20"/>
                <w:szCs w:val="20"/>
              </w:rPr>
              <w:t>0</w:t>
            </w:r>
          </w:p>
        </w:tc>
        <w:tc>
          <w:tcPr>
            <w:tcW w:w="332" w:type="pct"/>
            <w:tcBorders>
              <w:top w:val="single" w:sz="4" w:space="0" w:color="auto"/>
              <w:left w:val="double" w:sz="6" w:space="0" w:color="auto"/>
              <w:bottom w:val="single" w:sz="4" w:space="0" w:color="auto"/>
              <w:right w:val="single" w:sz="4" w:space="0" w:color="auto"/>
            </w:tcBorders>
            <w:vAlign w:val="center"/>
          </w:tcPr>
          <w:p w:rsidR="00D76BAE" w:rsidRPr="00D76BAE" w:rsidRDefault="00D76BAE" w:rsidP="00D76BAE">
            <w:pPr>
              <w:jc w:val="center"/>
              <w:rPr>
                <w:rFonts w:asciiTheme="minorHAnsi" w:hAnsiTheme="minorHAnsi" w:cstheme="minorHAnsi"/>
                <w:b/>
                <w:bCs/>
                <w:sz w:val="20"/>
                <w:szCs w:val="20"/>
              </w:rPr>
            </w:pPr>
            <w:r w:rsidRPr="00D76BAE">
              <w:rPr>
                <w:rFonts w:asciiTheme="minorHAnsi" w:hAnsiTheme="minorHAnsi" w:cstheme="minorHAnsi"/>
                <w:b/>
                <w:bCs/>
                <w:sz w:val="20"/>
                <w:szCs w:val="20"/>
              </w:rPr>
              <w:t>2237</w:t>
            </w:r>
          </w:p>
        </w:tc>
        <w:tc>
          <w:tcPr>
            <w:tcW w:w="332" w:type="pct"/>
            <w:tcBorders>
              <w:top w:val="single" w:sz="4" w:space="0" w:color="auto"/>
              <w:left w:val="single" w:sz="4" w:space="0" w:color="auto"/>
              <w:bottom w:val="single" w:sz="4" w:space="0" w:color="auto"/>
              <w:right w:val="single" w:sz="4" w:space="0" w:color="auto"/>
            </w:tcBorders>
            <w:vAlign w:val="center"/>
          </w:tcPr>
          <w:p w:rsidR="00D76BAE" w:rsidRPr="00D76BAE" w:rsidRDefault="00D76BAE" w:rsidP="00D76BAE">
            <w:pPr>
              <w:jc w:val="center"/>
              <w:rPr>
                <w:rFonts w:asciiTheme="minorHAnsi" w:hAnsiTheme="minorHAnsi" w:cstheme="minorHAnsi"/>
                <w:b/>
                <w:bCs/>
                <w:sz w:val="20"/>
                <w:szCs w:val="20"/>
              </w:rPr>
            </w:pPr>
            <w:r w:rsidRPr="00D76BAE">
              <w:rPr>
                <w:rFonts w:asciiTheme="minorHAnsi" w:hAnsiTheme="minorHAnsi" w:cstheme="minorHAnsi"/>
                <w:b/>
                <w:bCs/>
                <w:sz w:val="20"/>
                <w:szCs w:val="20"/>
              </w:rPr>
              <w:t>274</w:t>
            </w:r>
          </w:p>
        </w:tc>
        <w:tc>
          <w:tcPr>
            <w:tcW w:w="347" w:type="pct"/>
            <w:tcBorders>
              <w:top w:val="single" w:sz="4" w:space="0" w:color="auto"/>
              <w:left w:val="single" w:sz="4" w:space="0" w:color="auto"/>
              <w:bottom w:val="single" w:sz="4" w:space="0" w:color="auto"/>
              <w:right w:val="double" w:sz="6" w:space="0" w:color="auto"/>
            </w:tcBorders>
            <w:vAlign w:val="center"/>
          </w:tcPr>
          <w:p w:rsidR="00D76BAE" w:rsidRPr="00D76BAE" w:rsidRDefault="00D76BAE" w:rsidP="00D76BAE">
            <w:pPr>
              <w:jc w:val="center"/>
              <w:rPr>
                <w:rFonts w:asciiTheme="minorHAnsi" w:hAnsiTheme="minorHAnsi" w:cstheme="minorHAnsi"/>
                <w:b/>
                <w:bCs/>
                <w:sz w:val="20"/>
                <w:szCs w:val="20"/>
              </w:rPr>
            </w:pPr>
            <w:r w:rsidRPr="00D76BAE">
              <w:rPr>
                <w:rFonts w:asciiTheme="minorHAnsi" w:hAnsiTheme="minorHAnsi" w:cstheme="minorHAnsi"/>
                <w:b/>
                <w:bCs/>
                <w:sz w:val="20"/>
                <w:szCs w:val="20"/>
              </w:rPr>
              <w:t>87</w:t>
            </w:r>
          </w:p>
        </w:tc>
        <w:tc>
          <w:tcPr>
            <w:tcW w:w="459" w:type="pct"/>
            <w:tcBorders>
              <w:top w:val="single" w:sz="4" w:space="0" w:color="auto"/>
              <w:left w:val="double" w:sz="6" w:space="0" w:color="auto"/>
              <w:bottom w:val="single" w:sz="4" w:space="0" w:color="auto"/>
              <w:right w:val="single" w:sz="4" w:space="0" w:color="auto"/>
            </w:tcBorders>
            <w:vAlign w:val="bottom"/>
          </w:tcPr>
          <w:p w:rsidR="00D76BAE" w:rsidRPr="00D76BAE" w:rsidRDefault="00D76BAE" w:rsidP="00D76BAE">
            <w:pPr>
              <w:jc w:val="center"/>
              <w:rPr>
                <w:rFonts w:asciiTheme="minorHAnsi" w:hAnsiTheme="minorHAnsi" w:cstheme="minorHAnsi"/>
                <w:b/>
                <w:color w:val="FF0000"/>
                <w:sz w:val="20"/>
                <w:szCs w:val="20"/>
              </w:rPr>
            </w:pPr>
            <w:r w:rsidRPr="00D76BAE">
              <w:rPr>
                <w:rFonts w:asciiTheme="minorHAnsi" w:hAnsiTheme="minorHAnsi" w:cstheme="minorHAnsi"/>
                <w:b/>
                <w:color w:val="FF0000"/>
                <w:sz w:val="20"/>
                <w:szCs w:val="20"/>
              </w:rPr>
              <w:t>-1777</w:t>
            </w:r>
          </w:p>
        </w:tc>
        <w:tc>
          <w:tcPr>
            <w:tcW w:w="388" w:type="pct"/>
            <w:tcBorders>
              <w:top w:val="single" w:sz="4" w:space="0" w:color="auto"/>
              <w:left w:val="single" w:sz="4" w:space="0" w:color="auto"/>
              <w:bottom w:val="single" w:sz="4" w:space="0" w:color="auto"/>
              <w:right w:val="single" w:sz="4" w:space="0" w:color="auto"/>
            </w:tcBorders>
            <w:vAlign w:val="bottom"/>
          </w:tcPr>
          <w:p w:rsidR="00D76BAE" w:rsidRPr="00D76BAE" w:rsidRDefault="00D76BAE" w:rsidP="00D76BAE">
            <w:pPr>
              <w:jc w:val="center"/>
              <w:rPr>
                <w:rFonts w:asciiTheme="minorHAnsi" w:hAnsiTheme="minorHAnsi" w:cstheme="minorHAnsi"/>
                <w:b/>
                <w:color w:val="FF0000"/>
                <w:sz w:val="20"/>
                <w:szCs w:val="20"/>
              </w:rPr>
            </w:pPr>
            <w:r w:rsidRPr="00D76BAE">
              <w:rPr>
                <w:rFonts w:asciiTheme="minorHAnsi" w:hAnsiTheme="minorHAnsi" w:cstheme="minorHAnsi"/>
                <w:b/>
                <w:color w:val="FF0000"/>
                <w:sz w:val="20"/>
                <w:szCs w:val="20"/>
              </w:rPr>
              <w:t>-730</w:t>
            </w:r>
          </w:p>
        </w:tc>
        <w:tc>
          <w:tcPr>
            <w:tcW w:w="388" w:type="pct"/>
            <w:tcBorders>
              <w:top w:val="single" w:sz="4" w:space="0" w:color="auto"/>
              <w:left w:val="single" w:sz="4" w:space="0" w:color="auto"/>
              <w:bottom w:val="single" w:sz="4" w:space="0" w:color="auto"/>
              <w:right w:val="single" w:sz="4" w:space="0" w:color="auto"/>
            </w:tcBorders>
            <w:vAlign w:val="bottom"/>
          </w:tcPr>
          <w:p w:rsidR="00D76BAE" w:rsidRPr="00D76BAE" w:rsidRDefault="00D76BAE" w:rsidP="00D76BAE">
            <w:pPr>
              <w:jc w:val="center"/>
              <w:rPr>
                <w:rFonts w:asciiTheme="minorHAnsi" w:hAnsiTheme="minorHAnsi" w:cstheme="minorHAnsi"/>
                <w:b/>
                <w:color w:val="FF0000"/>
                <w:sz w:val="20"/>
                <w:szCs w:val="20"/>
              </w:rPr>
            </w:pPr>
            <w:r w:rsidRPr="00D76BAE">
              <w:rPr>
                <w:rFonts w:asciiTheme="minorHAnsi" w:hAnsiTheme="minorHAnsi" w:cstheme="minorHAnsi"/>
                <w:b/>
                <w:color w:val="FF0000"/>
                <w:sz w:val="20"/>
                <w:szCs w:val="20"/>
              </w:rPr>
              <w:t>-50</w:t>
            </w:r>
          </w:p>
        </w:tc>
        <w:tc>
          <w:tcPr>
            <w:tcW w:w="387" w:type="pct"/>
            <w:tcBorders>
              <w:top w:val="single" w:sz="4" w:space="0" w:color="auto"/>
              <w:left w:val="single" w:sz="4" w:space="0" w:color="auto"/>
              <w:bottom w:val="single" w:sz="4" w:space="0" w:color="auto"/>
              <w:right w:val="double" w:sz="6" w:space="0" w:color="auto"/>
            </w:tcBorders>
            <w:shd w:val="clear" w:color="auto" w:fill="auto"/>
            <w:noWrap/>
            <w:vAlign w:val="bottom"/>
          </w:tcPr>
          <w:p w:rsidR="00D76BAE" w:rsidRPr="00D76BAE" w:rsidRDefault="00D76BAE" w:rsidP="00D76BAE">
            <w:pPr>
              <w:jc w:val="center"/>
              <w:rPr>
                <w:rFonts w:asciiTheme="minorHAnsi" w:hAnsiTheme="minorHAnsi" w:cstheme="minorHAnsi"/>
                <w:b/>
                <w:color w:val="FF0000"/>
                <w:sz w:val="20"/>
                <w:szCs w:val="20"/>
              </w:rPr>
            </w:pPr>
            <w:r w:rsidRPr="00D76BAE">
              <w:rPr>
                <w:rFonts w:asciiTheme="minorHAnsi" w:hAnsiTheme="minorHAnsi" w:cstheme="minorHAnsi"/>
                <w:b/>
                <w:color w:val="FF0000"/>
                <w:sz w:val="20"/>
                <w:szCs w:val="20"/>
              </w:rPr>
              <w:t>-87</w:t>
            </w:r>
          </w:p>
        </w:tc>
      </w:tr>
      <w:tr w:rsidR="00D76BAE" w:rsidRPr="001C0E0A" w:rsidTr="0071568D">
        <w:trPr>
          <w:trHeight w:val="255"/>
          <w:jc w:val="center"/>
        </w:trPr>
        <w:tc>
          <w:tcPr>
            <w:tcW w:w="582" w:type="pct"/>
            <w:tcBorders>
              <w:top w:val="nil"/>
              <w:left w:val="double" w:sz="6" w:space="0" w:color="auto"/>
              <w:bottom w:val="single" w:sz="4" w:space="0" w:color="auto"/>
              <w:right w:val="nil"/>
            </w:tcBorders>
            <w:shd w:val="clear" w:color="auto" w:fill="auto"/>
            <w:noWrap/>
            <w:vAlign w:val="center"/>
          </w:tcPr>
          <w:p w:rsidR="00D76BAE" w:rsidRPr="001C0E0A" w:rsidRDefault="00D76BAE" w:rsidP="00D76BAE">
            <w:pPr>
              <w:jc w:val="center"/>
              <w:rPr>
                <w:rFonts w:asciiTheme="minorHAnsi" w:hAnsiTheme="minorHAnsi" w:cs="Arial"/>
                <w:sz w:val="20"/>
                <w:szCs w:val="20"/>
              </w:rPr>
            </w:pPr>
            <w:r w:rsidRPr="001C0E0A">
              <w:rPr>
                <w:rFonts w:asciiTheme="minorHAnsi" w:hAnsiTheme="minorHAnsi" w:cs="Arial"/>
                <w:b/>
                <w:bCs/>
                <w:sz w:val="20"/>
                <w:szCs w:val="20"/>
              </w:rPr>
              <w:t>T3</w:t>
            </w:r>
          </w:p>
        </w:tc>
        <w:tc>
          <w:tcPr>
            <w:tcW w:w="714" w:type="pct"/>
            <w:tcBorders>
              <w:top w:val="single" w:sz="4" w:space="0" w:color="auto"/>
              <w:left w:val="single" w:sz="4" w:space="0" w:color="auto"/>
              <w:bottom w:val="single" w:sz="4" w:space="0" w:color="auto"/>
              <w:right w:val="single" w:sz="4" w:space="0" w:color="auto"/>
            </w:tcBorders>
            <w:shd w:val="clear" w:color="auto" w:fill="auto"/>
            <w:noWrap/>
            <w:vAlign w:val="bottom"/>
          </w:tcPr>
          <w:p w:rsidR="00D76BAE" w:rsidRPr="00D76BAE" w:rsidRDefault="00D76BAE" w:rsidP="00D76BAE">
            <w:pPr>
              <w:jc w:val="center"/>
              <w:rPr>
                <w:rFonts w:asciiTheme="minorHAnsi" w:hAnsiTheme="minorHAnsi" w:cstheme="minorHAnsi"/>
                <w:b/>
                <w:sz w:val="20"/>
                <w:szCs w:val="20"/>
              </w:rPr>
            </w:pPr>
            <w:r w:rsidRPr="00D76BAE">
              <w:rPr>
                <w:rFonts w:asciiTheme="minorHAnsi" w:hAnsiTheme="minorHAnsi" w:cstheme="minorHAnsi"/>
                <w:b/>
                <w:sz w:val="20"/>
                <w:szCs w:val="20"/>
              </w:rPr>
              <w:t>808</w:t>
            </w:r>
          </w:p>
        </w:tc>
        <w:tc>
          <w:tcPr>
            <w:tcW w:w="409" w:type="pct"/>
            <w:tcBorders>
              <w:top w:val="single" w:sz="4" w:space="0" w:color="auto"/>
              <w:left w:val="single" w:sz="4" w:space="0" w:color="auto"/>
              <w:bottom w:val="single" w:sz="4" w:space="0" w:color="auto"/>
              <w:right w:val="single" w:sz="4" w:space="0" w:color="auto"/>
            </w:tcBorders>
            <w:shd w:val="clear" w:color="auto" w:fill="auto"/>
            <w:vAlign w:val="bottom"/>
          </w:tcPr>
          <w:p w:rsidR="00D76BAE" w:rsidRPr="00D76BAE" w:rsidRDefault="00D76BAE" w:rsidP="00D76BAE">
            <w:pPr>
              <w:jc w:val="center"/>
              <w:rPr>
                <w:rFonts w:asciiTheme="minorHAnsi" w:hAnsiTheme="minorHAnsi" w:cstheme="minorHAnsi"/>
                <w:b/>
                <w:sz w:val="20"/>
                <w:szCs w:val="20"/>
              </w:rPr>
            </w:pPr>
            <w:r w:rsidRPr="00D76BAE">
              <w:rPr>
                <w:rFonts w:asciiTheme="minorHAnsi" w:hAnsiTheme="minorHAnsi" w:cstheme="minorHAnsi"/>
                <w:b/>
                <w:sz w:val="20"/>
                <w:szCs w:val="20"/>
              </w:rPr>
              <w:t>1224</w:t>
            </w:r>
          </w:p>
        </w:tc>
        <w:tc>
          <w:tcPr>
            <w:tcW w:w="330" w:type="pct"/>
            <w:tcBorders>
              <w:top w:val="single" w:sz="4" w:space="0" w:color="auto"/>
              <w:left w:val="nil"/>
              <w:bottom w:val="single" w:sz="4" w:space="0" w:color="auto"/>
              <w:right w:val="single" w:sz="4" w:space="0" w:color="auto"/>
            </w:tcBorders>
            <w:shd w:val="clear" w:color="auto" w:fill="auto"/>
            <w:noWrap/>
            <w:vAlign w:val="bottom"/>
          </w:tcPr>
          <w:p w:rsidR="00D76BAE" w:rsidRPr="00D76BAE" w:rsidRDefault="00D76BAE" w:rsidP="00D76BAE">
            <w:pPr>
              <w:jc w:val="center"/>
              <w:rPr>
                <w:rFonts w:asciiTheme="minorHAnsi" w:hAnsiTheme="minorHAnsi" w:cstheme="minorHAnsi"/>
                <w:b/>
                <w:sz w:val="20"/>
                <w:szCs w:val="20"/>
              </w:rPr>
            </w:pPr>
            <w:r w:rsidRPr="00D76BAE">
              <w:rPr>
                <w:rFonts w:asciiTheme="minorHAnsi" w:hAnsiTheme="minorHAnsi" w:cstheme="minorHAnsi"/>
                <w:b/>
                <w:sz w:val="20"/>
                <w:szCs w:val="20"/>
              </w:rPr>
              <w:t>396</w:t>
            </w:r>
          </w:p>
        </w:tc>
        <w:tc>
          <w:tcPr>
            <w:tcW w:w="331" w:type="pct"/>
            <w:tcBorders>
              <w:top w:val="single" w:sz="4" w:space="0" w:color="auto"/>
              <w:left w:val="nil"/>
              <w:bottom w:val="single" w:sz="4" w:space="0" w:color="auto"/>
              <w:right w:val="double" w:sz="6" w:space="0" w:color="auto"/>
            </w:tcBorders>
            <w:vAlign w:val="bottom"/>
          </w:tcPr>
          <w:p w:rsidR="00D76BAE" w:rsidRPr="00D76BAE" w:rsidRDefault="00D76BAE" w:rsidP="00D76BAE">
            <w:pPr>
              <w:jc w:val="center"/>
              <w:rPr>
                <w:rFonts w:asciiTheme="minorHAnsi" w:hAnsiTheme="minorHAnsi" w:cstheme="minorHAnsi"/>
                <w:b/>
                <w:sz w:val="20"/>
                <w:szCs w:val="20"/>
              </w:rPr>
            </w:pPr>
            <w:r w:rsidRPr="00D76BAE">
              <w:rPr>
                <w:rFonts w:asciiTheme="minorHAnsi" w:hAnsiTheme="minorHAnsi" w:cstheme="minorHAnsi"/>
                <w:b/>
                <w:sz w:val="20"/>
                <w:szCs w:val="20"/>
              </w:rPr>
              <w:t>210</w:t>
            </w:r>
          </w:p>
        </w:tc>
        <w:tc>
          <w:tcPr>
            <w:tcW w:w="332" w:type="pct"/>
            <w:tcBorders>
              <w:top w:val="single" w:sz="4" w:space="0" w:color="auto"/>
              <w:left w:val="double" w:sz="6" w:space="0" w:color="auto"/>
              <w:bottom w:val="single" w:sz="4" w:space="0" w:color="auto"/>
              <w:right w:val="single" w:sz="4" w:space="0" w:color="auto"/>
            </w:tcBorders>
            <w:vAlign w:val="center"/>
          </w:tcPr>
          <w:p w:rsidR="00D76BAE" w:rsidRPr="00D76BAE" w:rsidRDefault="00D76BAE" w:rsidP="00D76BAE">
            <w:pPr>
              <w:jc w:val="center"/>
              <w:rPr>
                <w:rFonts w:asciiTheme="minorHAnsi" w:hAnsiTheme="minorHAnsi" w:cstheme="minorHAnsi"/>
                <w:b/>
                <w:bCs/>
                <w:sz w:val="20"/>
                <w:szCs w:val="20"/>
              </w:rPr>
            </w:pPr>
            <w:r w:rsidRPr="00D76BAE">
              <w:rPr>
                <w:rFonts w:asciiTheme="minorHAnsi" w:hAnsiTheme="minorHAnsi" w:cstheme="minorHAnsi"/>
                <w:b/>
                <w:bCs/>
                <w:sz w:val="20"/>
                <w:szCs w:val="20"/>
              </w:rPr>
              <w:t>2657</w:t>
            </w:r>
          </w:p>
        </w:tc>
        <w:tc>
          <w:tcPr>
            <w:tcW w:w="332" w:type="pct"/>
            <w:tcBorders>
              <w:top w:val="single" w:sz="4" w:space="0" w:color="auto"/>
              <w:left w:val="single" w:sz="4" w:space="0" w:color="auto"/>
              <w:bottom w:val="single" w:sz="4" w:space="0" w:color="auto"/>
              <w:right w:val="single" w:sz="4" w:space="0" w:color="auto"/>
            </w:tcBorders>
            <w:vAlign w:val="center"/>
          </w:tcPr>
          <w:p w:rsidR="00D76BAE" w:rsidRPr="00D76BAE" w:rsidRDefault="00D76BAE" w:rsidP="00D76BAE">
            <w:pPr>
              <w:jc w:val="center"/>
              <w:rPr>
                <w:rFonts w:asciiTheme="minorHAnsi" w:hAnsiTheme="minorHAnsi" w:cstheme="minorHAnsi"/>
                <w:b/>
                <w:bCs/>
                <w:sz w:val="20"/>
                <w:szCs w:val="20"/>
              </w:rPr>
            </w:pPr>
            <w:r w:rsidRPr="00D76BAE">
              <w:rPr>
                <w:rFonts w:asciiTheme="minorHAnsi" w:hAnsiTheme="minorHAnsi" w:cstheme="minorHAnsi"/>
                <w:b/>
                <w:bCs/>
                <w:sz w:val="20"/>
                <w:szCs w:val="20"/>
              </w:rPr>
              <w:t>317</w:t>
            </w:r>
          </w:p>
        </w:tc>
        <w:tc>
          <w:tcPr>
            <w:tcW w:w="347" w:type="pct"/>
            <w:tcBorders>
              <w:top w:val="single" w:sz="4" w:space="0" w:color="auto"/>
              <w:left w:val="single" w:sz="4" w:space="0" w:color="auto"/>
              <w:bottom w:val="single" w:sz="4" w:space="0" w:color="auto"/>
              <w:right w:val="double" w:sz="6" w:space="0" w:color="auto"/>
            </w:tcBorders>
            <w:vAlign w:val="center"/>
          </w:tcPr>
          <w:p w:rsidR="00D76BAE" w:rsidRPr="00D76BAE" w:rsidRDefault="00D76BAE" w:rsidP="00D76BAE">
            <w:pPr>
              <w:jc w:val="center"/>
              <w:rPr>
                <w:rFonts w:asciiTheme="minorHAnsi" w:hAnsiTheme="minorHAnsi" w:cstheme="minorHAnsi"/>
                <w:b/>
                <w:bCs/>
                <w:sz w:val="20"/>
                <w:szCs w:val="20"/>
              </w:rPr>
            </w:pPr>
            <w:r w:rsidRPr="00D76BAE">
              <w:rPr>
                <w:rFonts w:asciiTheme="minorHAnsi" w:hAnsiTheme="minorHAnsi" w:cstheme="minorHAnsi"/>
                <w:b/>
                <w:bCs/>
                <w:sz w:val="20"/>
                <w:szCs w:val="20"/>
              </w:rPr>
              <w:t>118</w:t>
            </w:r>
          </w:p>
        </w:tc>
        <w:tc>
          <w:tcPr>
            <w:tcW w:w="459" w:type="pct"/>
            <w:tcBorders>
              <w:top w:val="single" w:sz="4" w:space="0" w:color="auto"/>
              <w:left w:val="double" w:sz="6" w:space="0" w:color="auto"/>
              <w:bottom w:val="single" w:sz="4" w:space="0" w:color="auto"/>
              <w:right w:val="single" w:sz="4" w:space="0" w:color="auto"/>
            </w:tcBorders>
            <w:vAlign w:val="bottom"/>
          </w:tcPr>
          <w:p w:rsidR="00D76BAE" w:rsidRPr="00D76BAE" w:rsidRDefault="00D76BAE" w:rsidP="00D76BAE">
            <w:pPr>
              <w:jc w:val="center"/>
              <w:rPr>
                <w:rFonts w:asciiTheme="minorHAnsi" w:hAnsiTheme="minorHAnsi" w:cstheme="minorHAnsi"/>
                <w:b/>
                <w:color w:val="FF0000"/>
                <w:sz w:val="20"/>
                <w:szCs w:val="20"/>
              </w:rPr>
            </w:pPr>
            <w:r w:rsidRPr="00D76BAE">
              <w:rPr>
                <w:rFonts w:asciiTheme="minorHAnsi" w:hAnsiTheme="minorHAnsi" w:cstheme="minorHAnsi"/>
                <w:b/>
                <w:color w:val="FF0000"/>
                <w:sz w:val="20"/>
                <w:szCs w:val="20"/>
              </w:rPr>
              <w:t>-1849</w:t>
            </w:r>
          </w:p>
        </w:tc>
        <w:tc>
          <w:tcPr>
            <w:tcW w:w="388" w:type="pct"/>
            <w:tcBorders>
              <w:top w:val="single" w:sz="4" w:space="0" w:color="auto"/>
              <w:left w:val="single" w:sz="4" w:space="0" w:color="auto"/>
              <w:bottom w:val="single" w:sz="4" w:space="0" w:color="auto"/>
              <w:right w:val="single" w:sz="4" w:space="0" w:color="auto"/>
            </w:tcBorders>
            <w:vAlign w:val="bottom"/>
          </w:tcPr>
          <w:p w:rsidR="00D76BAE" w:rsidRPr="00D76BAE" w:rsidRDefault="00D76BAE" w:rsidP="00D76BAE">
            <w:pPr>
              <w:jc w:val="center"/>
              <w:rPr>
                <w:rFonts w:asciiTheme="minorHAnsi" w:hAnsiTheme="minorHAnsi" w:cstheme="minorHAnsi"/>
                <w:b/>
                <w:color w:val="FF0000"/>
                <w:sz w:val="20"/>
                <w:szCs w:val="20"/>
              </w:rPr>
            </w:pPr>
            <w:r w:rsidRPr="00D76BAE">
              <w:rPr>
                <w:rFonts w:asciiTheme="minorHAnsi" w:hAnsiTheme="minorHAnsi" w:cstheme="minorHAnsi"/>
                <w:b/>
                <w:color w:val="FF0000"/>
                <w:sz w:val="20"/>
                <w:szCs w:val="20"/>
              </w:rPr>
              <w:t>-625</w:t>
            </w:r>
          </w:p>
        </w:tc>
        <w:tc>
          <w:tcPr>
            <w:tcW w:w="388" w:type="pct"/>
            <w:tcBorders>
              <w:top w:val="single" w:sz="4" w:space="0" w:color="auto"/>
              <w:left w:val="single" w:sz="4" w:space="0" w:color="auto"/>
              <w:bottom w:val="single" w:sz="4" w:space="0" w:color="auto"/>
              <w:right w:val="single" w:sz="4" w:space="0" w:color="auto"/>
            </w:tcBorders>
            <w:vAlign w:val="bottom"/>
          </w:tcPr>
          <w:p w:rsidR="00D76BAE" w:rsidRPr="00D76BAE" w:rsidRDefault="00D76BAE" w:rsidP="00D76BAE">
            <w:pPr>
              <w:jc w:val="center"/>
              <w:rPr>
                <w:rFonts w:asciiTheme="minorHAnsi" w:hAnsiTheme="minorHAnsi" w:cstheme="minorHAnsi"/>
                <w:b/>
                <w:color w:val="0033CC"/>
                <w:sz w:val="20"/>
                <w:szCs w:val="20"/>
              </w:rPr>
            </w:pPr>
            <w:r w:rsidRPr="00D76BAE">
              <w:rPr>
                <w:rFonts w:asciiTheme="minorHAnsi" w:hAnsiTheme="minorHAnsi" w:cstheme="minorHAnsi"/>
                <w:b/>
                <w:color w:val="0033CC"/>
                <w:sz w:val="20"/>
                <w:szCs w:val="20"/>
              </w:rPr>
              <w:t>79</w:t>
            </w:r>
          </w:p>
        </w:tc>
        <w:tc>
          <w:tcPr>
            <w:tcW w:w="387" w:type="pct"/>
            <w:tcBorders>
              <w:top w:val="single" w:sz="4" w:space="0" w:color="auto"/>
              <w:left w:val="single" w:sz="4" w:space="0" w:color="auto"/>
              <w:bottom w:val="single" w:sz="4" w:space="0" w:color="auto"/>
              <w:right w:val="double" w:sz="6" w:space="0" w:color="auto"/>
            </w:tcBorders>
            <w:shd w:val="clear" w:color="auto" w:fill="auto"/>
            <w:noWrap/>
            <w:vAlign w:val="bottom"/>
          </w:tcPr>
          <w:p w:rsidR="00D76BAE" w:rsidRPr="00D76BAE" w:rsidRDefault="00D76BAE" w:rsidP="00D76BAE">
            <w:pPr>
              <w:jc w:val="center"/>
              <w:rPr>
                <w:rFonts w:asciiTheme="minorHAnsi" w:hAnsiTheme="minorHAnsi" w:cstheme="minorHAnsi"/>
                <w:b/>
                <w:color w:val="0033CC"/>
                <w:sz w:val="20"/>
                <w:szCs w:val="20"/>
              </w:rPr>
            </w:pPr>
            <w:r w:rsidRPr="00D76BAE">
              <w:rPr>
                <w:rFonts w:asciiTheme="minorHAnsi" w:hAnsiTheme="minorHAnsi" w:cstheme="minorHAnsi"/>
                <w:b/>
                <w:color w:val="0033CC"/>
                <w:sz w:val="20"/>
                <w:szCs w:val="20"/>
              </w:rPr>
              <w:t>92</w:t>
            </w:r>
          </w:p>
        </w:tc>
      </w:tr>
      <w:tr w:rsidR="00D76BAE" w:rsidRPr="001C0E0A" w:rsidTr="0071568D">
        <w:trPr>
          <w:trHeight w:val="255"/>
          <w:jc w:val="center"/>
        </w:trPr>
        <w:tc>
          <w:tcPr>
            <w:tcW w:w="582" w:type="pct"/>
            <w:tcBorders>
              <w:top w:val="nil"/>
              <w:left w:val="double" w:sz="6" w:space="0" w:color="auto"/>
              <w:bottom w:val="single" w:sz="4" w:space="0" w:color="auto"/>
              <w:right w:val="nil"/>
            </w:tcBorders>
            <w:shd w:val="clear" w:color="auto" w:fill="auto"/>
            <w:noWrap/>
            <w:vAlign w:val="center"/>
          </w:tcPr>
          <w:p w:rsidR="00D76BAE" w:rsidRPr="001C0E0A" w:rsidRDefault="00D76BAE" w:rsidP="00D76BAE">
            <w:pPr>
              <w:jc w:val="center"/>
              <w:rPr>
                <w:rFonts w:asciiTheme="minorHAnsi" w:hAnsiTheme="minorHAnsi" w:cs="Arial"/>
                <w:sz w:val="20"/>
                <w:szCs w:val="20"/>
              </w:rPr>
            </w:pPr>
            <w:r w:rsidRPr="001C0E0A">
              <w:rPr>
                <w:rFonts w:asciiTheme="minorHAnsi" w:hAnsiTheme="minorHAnsi" w:cs="Arial"/>
                <w:b/>
                <w:bCs/>
                <w:sz w:val="20"/>
                <w:szCs w:val="20"/>
              </w:rPr>
              <w:t>T4</w:t>
            </w:r>
          </w:p>
        </w:tc>
        <w:tc>
          <w:tcPr>
            <w:tcW w:w="714" w:type="pct"/>
            <w:tcBorders>
              <w:top w:val="single" w:sz="4" w:space="0" w:color="auto"/>
              <w:left w:val="single" w:sz="4" w:space="0" w:color="auto"/>
              <w:bottom w:val="single" w:sz="4" w:space="0" w:color="auto"/>
              <w:right w:val="single" w:sz="4" w:space="0" w:color="auto"/>
            </w:tcBorders>
            <w:shd w:val="clear" w:color="auto" w:fill="auto"/>
            <w:noWrap/>
            <w:vAlign w:val="bottom"/>
          </w:tcPr>
          <w:p w:rsidR="00D76BAE" w:rsidRPr="00D76BAE" w:rsidRDefault="00D76BAE" w:rsidP="00D76BAE">
            <w:pPr>
              <w:jc w:val="center"/>
              <w:rPr>
                <w:rFonts w:asciiTheme="minorHAnsi" w:hAnsiTheme="minorHAnsi" w:cstheme="minorHAnsi"/>
                <w:b/>
                <w:sz w:val="20"/>
                <w:szCs w:val="20"/>
              </w:rPr>
            </w:pPr>
            <w:r w:rsidRPr="00D76BAE">
              <w:rPr>
                <w:rFonts w:asciiTheme="minorHAnsi" w:hAnsiTheme="minorHAnsi" w:cstheme="minorHAnsi"/>
                <w:b/>
                <w:sz w:val="20"/>
                <w:szCs w:val="20"/>
              </w:rPr>
              <w:t>1053</w:t>
            </w:r>
          </w:p>
        </w:tc>
        <w:tc>
          <w:tcPr>
            <w:tcW w:w="409" w:type="pct"/>
            <w:tcBorders>
              <w:top w:val="single" w:sz="4" w:space="0" w:color="auto"/>
              <w:left w:val="single" w:sz="4" w:space="0" w:color="auto"/>
              <w:bottom w:val="single" w:sz="4" w:space="0" w:color="auto"/>
              <w:right w:val="single" w:sz="4" w:space="0" w:color="auto"/>
            </w:tcBorders>
            <w:shd w:val="clear" w:color="auto" w:fill="auto"/>
            <w:vAlign w:val="bottom"/>
          </w:tcPr>
          <w:p w:rsidR="00D76BAE" w:rsidRPr="00D76BAE" w:rsidRDefault="00D76BAE" w:rsidP="00D76BAE">
            <w:pPr>
              <w:jc w:val="center"/>
              <w:rPr>
                <w:rFonts w:asciiTheme="minorHAnsi" w:hAnsiTheme="minorHAnsi" w:cstheme="minorHAnsi"/>
                <w:b/>
                <w:sz w:val="20"/>
                <w:szCs w:val="20"/>
              </w:rPr>
            </w:pPr>
            <w:r w:rsidRPr="00D76BAE">
              <w:rPr>
                <w:rFonts w:asciiTheme="minorHAnsi" w:hAnsiTheme="minorHAnsi" w:cstheme="minorHAnsi"/>
                <w:b/>
                <w:sz w:val="20"/>
                <w:szCs w:val="20"/>
              </w:rPr>
              <w:t>1291</w:t>
            </w:r>
          </w:p>
        </w:tc>
        <w:tc>
          <w:tcPr>
            <w:tcW w:w="330" w:type="pct"/>
            <w:tcBorders>
              <w:top w:val="single" w:sz="4" w:space="0" w:color="auto"/>
              <w:left w:val="nil"/>
              <w:bottom w:val="single" w:sz="4" w:space="0" w:color="auto"/>
              <w:right w:val="single" w:sz="4" w:space="0" w:color="auto"/>
            </w:tcBorders>
            <w:shd w:val="clear" w:color="auto" w:fill="auto"/>
            <w:noWrap/>
            <w:vAlign w:val="bottom"/>
          </w:tcPr>
          <w:p w:rsidR="00D76BAE" w:rsidRPr="00D76BAE" w:rsidRDefault="00D76BAE" w:rsidP="00D76BAE">
            <w:pPr>
              <w:jc w:val="center"/>
              <w:rPr>
                <w:rFonts w:asciiTheme="minorHAnsi" w:hAnsiTheme="minorHAnsi" w:cstheme="minorHAnsi"/>
                <w:b/>
                <w:sz w:val="20"/>
                <w:szCs w:val="20"/>
              </w:rPr>
            </w:pPr>
            <w:r w:rsidRPr="00D76BAE">
              <w:rPr>
                <w:rFonts w:asciiTheme="minorHAnsi" w:hAnsiTheme="minorHAnsi" w:cstheme="minorHAnsi"/>
                <w:b/>
                <w:sz w:val="20"/>
                <w:szCs w:val="20"/>
              </w:rPr>
              <w:t>487</w:t>
            </w:r>
          </w:p>
        </w:tc>
        <w:tc>
          <w:tcPr>
            <w:tcW w:w="331" w:type="pct"/>
            <w:tcBorders>
              <w:top w:val="single" w:sz="4" w:space="0" w:color="auto"/>
              <w:left w:val="nil"/>
              <w:bottom w:val="single" w:sz="4" w:space="0" w:color="auto"/>
              <w:right w:val="double" w:sz="6" w:space="0" w:color="auto"/>
            </w:tcBorders>
            <w:vAlign w:val="bottom"/>
          </w:tcPr>
          <w:p w:rsidR="00D76BAE" w:rsidRPr="00D76BAE" w:rsidRDefault="00D76BAE" w:rsidP="00D76BAE">
            <w:pPr>
              <w:jc w:val="center"/>
              <w:rPr>
                <w:rFonts w:asciiTheme="minorHAnsi" w:hAnsiTheme="minorHAnsi" w:cstheme="minorHAnsi"/>
                <w:b/>
                <w:sz w:val="20"/>
                <w:szCs w:val="20"/>
              </w:rPr>
            </w:pPr>
            <w:r w:rsidRPr="00D76BAE">
              <w:rPr>
                <w:rFonts w:asciiTheme="minorHAnsi" w:hAnsiTheme="minorHAnsi" w:cstheme="minorHAnsi"/>
                <w:b/>
                <w:sz w:val="20"/>
                <w:szCs w:val="20"/>
              </w:rPr>
              <w:t>260</w:t>
            </w:r>
          </w:p>
        </w:tc>
        <w:tc>
          <w:tcPr>
            <w:tcW w:w="332" w:type="pct"/>
            <w:tcBorders>
              <w:top w:val="single" w:sz="4" w:space="0" w:color="auto"/>
              <w:left w:val="double" w:sz="6" w:space="0" w:color="auto"/>
              <w:bottom w:val="single" w:sz="4" w:space="0" w:color="auto"/>
              <w:right w:val="single" w:sz="4" w:space="0" w:color="auto"/>
            </w:tcBorders>
            <w:vAlign w:val="center"/>
          </w:tcPr>
          <w:p w:rsidR="00D76BAE" w:rsidRPr="00D76BAE" w:rsidRDefault="00D76BAE" w:rsidP="00D76BAE">
            <w:pPr>
              <w:jc w:val="center"/>
              <w:rPr>
                <w:rFonts w:asciiTheme="minorHAnsi" w:hAnsiTheme="minorHAnsi" w:cstheme="minorHAnsi"/>
                <w:b/>
                <w:bCs/>
                <w:sz w:val="20"/>
                <w:szCs w:val="20"/>
              </w:rPr>
            </w:pPr>
            <w:r w:rsidRPr="00D76BAE">
              <w:rPr>
                <w:rFonts w:asciiTheme="minorHAnsi" w:hAnsiTheme="minorHAnsi" w:cstheme="minorHAnsi"/>
                <w:b/>
                <w:bCs/>
                <w:sz w:val="20"/>
                <w:szCs w:val="20"/>
              </w:rPr>
              <w:t>2804</w:t>
            </w:r>
          </w:p>
        </w:tc>
        <w:tc>
          <w:tcPr>
            <w:tcW w:w="332" w:type="pct"/>
            <w:tcBorders>
              <w:top w:val="single" w:sz="4" w:space="0" w:color="auto"/>
              <w:left w:val="single" w:sz="4" w:space="0" w:color="auto"/>
              <w:bottom w:val="single" w:sz="4" w:space="0" w:color="auto"/>
              <w:right w:val="single" w:sz="4" w:space="0" w:color="auto"/>
            </w:tcBorders>
            <w:vAlign w:val="center"/>
          </w:tcPr>
          <w:p w:rsidR="00D76BAE" w:rsidRPr="00D76BAE" w:rsidRDefault="00D76BAE" w:rsidP="00D76BAE">
            <w:pPr>
              <w:jc w:val="center"/>
              <w:rPr>
                <w:rFonts w:asciiTheme="minorHAnsi" w:hAnsiTheme="minorHAnsi" w:cstheme="minorHAnsi"/>
                <w:b/>
                <w:bCs/>
                <w:sz w:val="20"/>
                <w:szCs w:val="20"/>
              </w:rPr>
            </w:pPr>
            <w:r w:rsidRPr="00D76BAE">
              <w:rPr>
                <w:rFonts w:asciiTheme="minorHAnsi" w:hAnsiTheme="minorHAnsi" w:cstheme="minorHAnsi"/>
                <w:b/>
                <w:bCs/>
                <w:sz w:val="20"/>
                <w:szCs w:val="20"/>
              </w:rPr>
              <w:t>339</w:t>
            </w:r>
          </w:p>
        </w:tc>
        <w:tc>
          <w:tcPr>
            <w:tcW w:w="347" w:type="pct"/>
            <w:tcBorders>
              <w:top w:val="single" w:sz="4" w:space="0" w:color="auto"/>
              <w:left w:val="single" w:sz="4" w:space="0" w:color="auto"/>
              <w:bottom w:val="single" w:sz="4" w:space="0" w:color="auto"/>
              <w:right w:val="double" w:sz="6" w:space="0" w:color="auto"/>
            </w:tcBorders>
            <w:vAlign w:val="center"/>
          </w:tcPr>
          <w:p w:rsidR="00D76BAE" w:rsidRPr="00D76BAE" w:rsidRDefault="00D76BAE" w:rsidP="00D76BAE">
            <w:pPr>
              <w:jc w:val="center"/>
              <w:rPr>
                <w:rFonts w:asciiTheme="minorHAnsi" w:hAnsiTheme="minorHAnsi" w:cstheme="minorHAnsi"/>
                <w:b/>
                <w:bCs/>
                <w:sz w:val="20"/>
                <w:szCs w:val="20"/>
              </w:rPr>
            </w:pPr>
            <w:r w:rsidRPr="00D76BAE">
              <w:rPr>
                <w:rFonts w:asciiTheme="minorHAnsi" w:hAnsiTheme="minorHAnsi" w:cstheme="minorHAnsi"/>
                <w:b/>
                <w:bCs/>
                <w:sz w:val="20"/>
                <w:szCs w:val="20"/>
              </w:rPr>
              <w:t>125</w:t>
            </w:r>
          </w:p>
        </w:tc>
        <w:tc>
          <w:tcPr>
            <w:tcW w:w="459" w:type="pct"/>
            <w:tcBorders>
              <w:top w:val="single" w:sz="4" w:space="0" w:color="auto"/>
              <w:left w:val="double" w:sz="6" w:space="0" w:color="auto"/>
              <w:bottom w:val="single" w:sz="4" w:space="0" w:color="auto"/>
              <w:right w:val="single" w:sz="4" w:space="0" w:color="auto"/>
            </w:tcBorders>
            <w:vAlign w:val="bottom"/>
          </w:tcPr>
          <w:p w:rsidR="00D76BAE" w:rsidRPr="00D76BAE" w:rsidRDefault="00D76BAE" w:rsidP="00D76BAE">
            <w:pPr>
              <w:jc w:val="center"/>
              <w:rPr>
                <w:rFonts w:asciiTheme="minorHAnsi" w:hAnsiTheme="minorHAnsi" w:cstheme="minorHAnsi"/>
                <w:b/>
                <w:color w:val="FF0000"/>
                <w:sz w:val="20"/>
                <w:szCs w:val="20"/>
              </w:rPr>
            </w:pPr>
            <w:r w:rsidRPr="00D76BAE">
              <w:rPr>
                <w:rFonts w:asciiTheme="minorHAnsi" w:hAnsiTheme="minorHAnsi" w:cstheme="minorHAnsi"/>
                <w:b/>
                <w:color w:val="FF0000"/>
                <w:sz w:val="20"/>
                <w:szCs w:val="20"/>
              </w:rPr>
              <w:t>-1751</w:t>
            </w:r>
          </w:p>
        </w:tc>
        <w:tc>
          <w:tcPr>
            <w:tcW w:w="388" w:type="pct"/>
            <w:tcBorders>
              <w:top w:val="single" w:sz="4" w:space="0" w:color="auto"/>
              <w:left w:val="single" w:sz="4" w:space="0" w:color="auto"/>
              <w:bottom w:val="single" w:sz="4" w:space="0" w:color="auto"/>
              <w:right w:val="single" w:sz="4" w:space="0" w:color="auto"/>
            </w:tcBorders>
            <w:vAlign w:val="bottom"/>
          </w:tcPr>
          <w:p w:rsidR="00D76BAE" w:rsidRPr="00D76BAE" w:rsidRDefault="00D76BAE" w:rsidP="00D76BAE">
            <w:pPr>
              <w:jc w:val="center"/>
              <w:rPr>
                <w:rFonts w:asciiTheme="minorHAnsi" w:hAnsiTheme="minorHAnsi" w:cstheme="minorHAnsi"/>
                <w:b/>
                <w:color w:val="FF0000"/>
                <w:sz w:val="20"/>
                <w:szCs w:val="20"/>
              </w:rPr>
            </w:pPr>
            <w:r w:rsidRPr="00D76BAE">
              <w:rPr>
                <w:rFonts w:asciiTheme="minorHAnsi" w:hAnsiTheme="minorHAnsi" w:cstheme="minorHAnsi"/>
                <w:b/>
                <w:color w:val="FF0000"/>
                <w:sz w:val="20"/>
                <w:szCs w:val="20"/>
              </w:rPr>
              <w:t>-460</w:t>
            </w:r>
          </w:p>
        </w:tc>
        <w:tc>
          <w:tcPr>
            <w:tcW w:w="388" w:type="pct"/>
            <w:tcBorders>
              <w:top w:val="single" w:sz="4" w:space="0" w:color="auto"/>
              <w:left w:val="single" w:sz="4" w:space="0" w:color="auto"/>
              <w:bottom w:val="single" w:sz="4" w:space="0" w:color="auto"/>
              <w:right w:val="single" w:sz="4" w:space="0" w:color="auto"/>
            </w:tcBorders>
            <w:vAlign w:val="bottom"/>
          </w:tcPr>
          <w:p w:rsidR="00D76BAE" w:rsidRPr="00D76BAE" w:rsidRDefault="00D76BAE" w:rsidP="00D76BAE">
            <w:pPr>
              <w:jc w:val="center"/>
              <w:rPr>
                <w:rFonts w:asciiTheme="minorHAnsi" w:hAnsiTheme="minorHAnsi" w:cstheme="minorHAnsi"/>
                <w:b/>
                <w:color w:val="0033CC"/>
                <w:sz w:val="20"/>
                <w:szCs w:val="20"/>
              </w:rPr>
            </w:pPr>
            <w:r w:rsidRPr="00D76BAE">
              <w:rPr>
                <w:rFonts w:asciiTheme="minorHAnsi" w:hAnsiTheme="minorHAnsi" w:cstheme="minorHAnsi"/>
                <w:b/>
                <w:color w:val="0033CC"/>
                <w:sz w:val="20"/>
                <w:szCs w:val="20"/>
              </w:rPr>
              <w:t>149</w:t>
            </w:r>
          </w:p>
        </w:tc>
        <w:tc>
          <w:tcPr>
            <w:tcW w:w="387" w:type="pct"/>
            <w:tcBorders>
              <w:top w:val="single" w:sz="4" w:space="0" w:color="auto"/>
              <w:left w:val="single" w:sz="4" w:space="0" w:color="auto"/>
              <w:bottom w:val="single" w:sz="4" w:space="0" w:color="auto"/>
              <w:right w:val="double" w:sz="6" w:space="0" w:color="auto"/>
            </w:tcBorders>
            <w:shd w:val="clear" w:color="auto" w:fill="auto"/>
            <w:noWrap/>
            <w:vAlign w:val="bottom"/>
          </w:tcPr>
          <w:p w:rsidR="00D76BAE" w:rsidRPr="00D76BAE" w:rsidRDefault="00D76BAE" w:rsidP="00D76BAE">
            <w:pPr>
              <w:jc w:val="center"/>
              <w:rPr>
                <w:rFonts w:asciiTheme="minorHAnsi" w:hAnsiTheme="minorHAnsi" w:cstheme="minorHAnsi"/>
                <w:b/>
                <w:color w:val="0033CC"/>
                <w:sz w:val="20"/>
                <w:szCs w:val="20"/>
              </w:rPr>
            </w:pPr>
            <w:r w:rsidRPr="00D76BAE">
              <w:rPr>
                <w:rFonts w:asciiTheme="minorHAnsi" w:hAnsiTheme="minorHAnsi" w:cstheme="minorHAnsi"/>
                <w:b/>
                <w:color w:val="0033CC"/>
                <w:sz w:val="20"/>
                <w:szCs w:val="20"/>
              </w:rPr>
              <w:t>135</w:t>
            </w:r>
          </w:p>
        </w:tc>
      </w:tr>
      <w:tr w:rsidR="00D76BAE" w:rsidRPr="001C0E0A" w:rsidTr="0071568D">
        <w:trPr>
          <w:trHeight w:val="270"/>
          <w:jc w:val="center"/>
        </w:trPr>
        <w:tc>
          <w:tcPr>
            <w:tcW w:w="582" w:type="pct"/>
            <w:tcBorders>
              <w:top w:val="nil"/>
              <w:left w:val="double" w:sz="6" w:space="0" w:color="auto"/>
              <w:bottom w:val="double" w:sz="6" w:space="0" w:color="auto"/>
              <w:right w:val="nil"/>
            </w:tcBorders>
            <w:shd w:val="clear" w:color="auto" w:fill="auto"/>
            <w:noWrap/>
            <w:vAlign w:val="center"/>
          </w:tcPr>
          <w:p w:rsidR="00D76BAE" w:rsidRPr="001C0E0A" w:rsidRDefault="00D76BAE" w:rsidP="00D76BAE">
            <w:pPr>
              <w:jc w:val="center"/>
              <w:rPr>
                <w:rFonts w:asciiTheme="minorHAnsi" w:hAnsiTheme="minorHAnsi" w:cs="Arial"/>
                <w:sz w:val="20"/>
                <w:szCs w:val="20"/>
                <w:lang w:val="pt-BR"/>
              </w:rPr>
            </w:pPr>
            <w:r w:rsidRPr="001C0E0A">
              <w:rPr>
                <w:rFonts w:asciiTheme="minorHAnsi" w:hAnsiTheme="minorHAnsi" w:cs="Arial"/>
                <w:b/>
                <w:bCs/>
                <w:sz w:val="20"/>
                <w:szCs w:val="20"/>
              </w:rPr>
              <w:t>T5</w:t>
            </w:r>
          </w:p>
        </w:tc>
        <w:tc>
          <w:tcPr>
            <w:tcW w:w="714" w:type="pct"/>
            <w:tcBorders>
              <w:top w:val="single" w:sz="4" w:space="0" w:color="auto"/>
              <w:left w:val="single" w:sz="4" w:space="0" w:color="auto"/>
              <w:bottom w:val="double" w:sz="6" w:space="0" w:color="auto"/>
              <w:right w:val="single" w:sz="4" w:space="0" w:color="auto"/>
            </w:tcBorders>
            <w:shd w:val="clear" w:color="auto" w:fill="auto"/>
            <w:noWrap/>
            <w:vAlign w:val="bottom"/>
          </w:tcPr>
          <w:p w:rsidR="00D76BAE" w:rsidRPr="00D76BAE" w:rsidRDefault="00D76BAE" w:rsidP="00D76BAE">
            <w:pPr>
              <w:jc w:val="center"/>
              <w:rPr>
                <w:rFonts w:asciiTheme="minorHAnsi" w:hAnsiTheme="minorHAnsi" w:cstheme="minorHAnsi"/>
                <w:b/>
                <w:sz w:val="20"/>
                <w:szCs w:val="20"/>
              </w:rPr>
            </w:pPr>
            <w:r w:rsidRPr="00D76BAE">
              <w:rPr>
                <w:rFonts w:asciiTheme="minorHAnsi" w:hAnsiTheme="minorHAnsi" w:cstheme="minorHAnsi"/>
                <w:b/>
                <w:sz w:val="20"/>
                <w:szCs w:val="20"/>
              </w:rPr>
              <w:t>1053</w:t>
            </w:r>
          </w:p>
        </w:tc>
        <w:tc>
          <w:tcPr>
            <w:tcW w:w="409" w:type="pct"/>
            <w:tcBorders>
              <w:top w:val="single" w:sz="4" w:space="0" w:color="auto"/>
              <w:left w:val="single" w:sz="4" w:space="0" w:color="auto"/>
              <w:bottom w:val="double" w:sz="6" w:space="0" w:color="auto"/>
              <w:right w:val="single" w:sz="4" w:space="0" w:color="auto"/>
            </w:tcBorders>
            <w:shd w:val="clear" w:color="auto" w:fill="auto"/>
            <w:vAlign w:val="bottom"/>
          </w:tcPr>
          <w:p w:rsidR="00D76BAE" w:rsidRPr="00D76BAE" w:rsidRDefault="00D76BAE" w:rsidP="00D76BAE">
            <w:pPr>
              <w:jc w:val="center"/>
              <w:rPr>
                <w:rFonts w:asciiTheme="minorHAnsi" w:hAnsiTheme="minorHAnsi" w:cstheme="minorHAnsi"/>
                <w:b/>
                <w:sz w:val="20"/>
                <w:szCs w:val="20"/>
              </w:rPr>
            </w:pPr>
            <w:r w:rsidRPr="00D76BAE">
              <w:rPr>
                <w:rFonts w:asciiTheme="minorHAnsi" w:hAnsiTheme="minorHAnsi" w:cstheme="minorHAnsi"/>
                <w:b/>
                <w:sz w:val="20"/>
                <w:szCs w:val="20"/>
              </w:rPr>
              <w:t>1335</w:t>
            </w:r>
          </w:p>
        </w:tc>
        <w:tc>
          <w:tcPr>
            <w:tcW w:w="330" w:type="pct"/>
            <w:tcBorders>
              <w:top w:val="single" w:sz="4" w:space="0" w:color="auto"/>
              <w:left w:val="nil"/>
              <w:bottom w:val="double" w:sz="6" w:space="0" w:color="auto"/>
              <w:right w:val="single" w:sz="4" w:space="0" w:color="auto"/>
            </w:tcBorders>
            <w:shd w:val="clear" w:color="auto" w:fill="auto"/>
            <w:noWrap/>
            <w:vAlign w:val="bottom"/>
          </w:tcPr>
          <w:p w:rsidR="00D76BAE" w:rsidRPr="00D76BAE" w:rsidRDefault="00D76BAE" w:rsidP="00D76BAE">
            <w:pPr>
              <w:jc w:val="center"/>
              <w:rPr>
                <w:rFonts w:asciiTheme="minorHAnsi" w:hAnsiTheme="minorHAnsi" w:cstheme="minorHAnsi"/>
                <w:b/>
                <w:sz w:val="20"/>
                <w:szCs w:val="20"/>
              </w:rPr>
            </w:pPr>
            <w:r w:rsidRPr="00D76BAE">
              <w:rPr>
                <w:rFonts w:asciiTheme="minorHAnsi" w:hAnsiTheme="minorHAnsi" w:cstheme="minorHAnsi"/>
                <w:b/>
                <w:sz w:val="20"/>
                <w:szCs w:val="20"/>
              </w:rPr>
              <w:t>711</w:t>
            </w:r>
          </w:p>
        </w:tc>
        <w:tc>
          <w:tcPr>
            <w:tcW w:w="331" w:type="pct"/>
            <w:tcBorders>
              <w:top w:val="single" w:sz="4" w:space="0" w:color="auto"/>
              <w:left w:val="nil"/>
              <w:bottom w:val="double" w:sz="6" w:space="0" w:color="auto"/>
              <w:right w:val="double" w:sz="6" w:space="0" w:color="auto"/>
            </w:tcBorders>
            <w:vAlign w:val="bottom"/>
          </w:tcPr>
          <w:p w:rsidR="00D76BAE" w:rsidRPr="00D76BAE" w:rsidRDefault="00D76BAE" w:rsidP="00D76BAE">
            <w:pPr>
              <w:jc w:val="center"/>
              <w:rPr>
                <w:rFonts w:asciiTheme="minorHAnsi" w:hAnsiTheme="minorHAnsi" w:cstheme="minorHAnsi"/>
                <w:b/>
                <w:sz w:val="20"/>
                <w:szCs w:val="20"/>
              </w:rPr>
            </w:pPr>
            <w:r w:rsidRPr="00D76BAE">
              <w:rPr>
                <w:rFonts w:asciiTheme="minorHAnsi" w:hAnsiTheme="minorHAnsi" w:cstheme="minorHAnsi"/>
                <w:b/>
                <w:sz w:val="20"/>
                <w:szCs w:val="20"/>
              </w:rPr>
              <w:t>260</w:t>
            </w:r>
          </w:p>
        </w:tc>
        <w:tc>
          <w:tcPr>
            <w:tcW w:w="332" w:type="pct"/>
            <w:tcBorders>
              <w:top w:val="single" w:sz="4" w:space="0" w:color="auto"/>
              <w:left w:val="double" w:sz="6" w:space="0" w:color="auto"/>
              <w:bottom w:val="double" w:sz="6" w:space="0" w:color="auto"/>
              <w:right w:val="single" w:sz="4" w:space="0" w:color="auto"/>
            </w:tcBorders>
            <w:vAlign w:val="center"/>
          </w:tcPr>
          <w:p w:rsidR="00D76BAE" w:rsidRPr="00D76BAE" w:rsidRDefault="00D76BAE" w:rsidP="00D76BAE">
            <w:pPr>
              <w:jc w:val="center"/>
              <w:rPr>
                <w:rFonts w:asciiTheme="minorHAnsi" w:hAnsiTheme="minorHAnsi" w:cstheme="minorHAnsi"/>
                <w:b/>
                <w:bCs/>
                <w:sz w:val="20"/>
                <w:szCs w:val="20"/>
              </w:rPr>
            </w:pPr>
            <w:r w:rsidRPr="00D76BAE">
              <w:rPr>
                <w:rFonts w:asciiTheme="minorHAnsi" w:hAnsiTheme="minorHAnsi" w:cstheme="minorHAnsi"/>
                <w:b/>
                <w:bCs/>
                <w:sz w:val="20"/>
                <w:szCs w:val="20"/>
              </w:rPr>
              <w:t>3005</w:t>
            </w:r>
          </w:p>
        </w:tc>
        <w:tc>
          <w:tcPr>
            <w:tcW w:w="332" w:type="pct"/>
            <w:tcBorders>
              <w:top w:val="single" w:sz="4" w:space="0" w:color="auto"/>
              <w:left w:val="single" w:sz="4" w:space="0" w:color="auto"/>
              <w:bottom w:val="double" w:sz="6" w:space="0" w:color="auto"/>
              <w:right w:val="single" w:sz="4" w:space="0" w:color="auto"/>
            </w:tcBorders>
            <w:vAlign w:val="center"/>
          </w:tcPr>
          <w:p w:rsidR="00D76BAE" w:rsidRPr="00D76BAE" w:rsidRDefault="00D76BAE" w:rsidP="00D76BAE">
            <w:pPr>
              <w:jc w:val="center"/>
              <w:rPr>
                <w:rFonts w:asciiTheme="minorHAnsi" w:hAnsiTheme="minorHAnsi" w:cstheme="minorHAnsi"/>
                <w:b/>
                <w:bCs/>
                <w:sz w:val="20"/>
                <w:szCs w:val="20"/>
              </w:rPr>
            </w:pPr>
            <w:r w:rsidRPr="00D76BAE">
              <w:rPr>
                <w:rFonts w:asciiTheme="minorHAnsi" w:hAnsiTheme="minorHAnsi" w:cstheme="minorHAnsi"/>
                <w:b/>
                <w:bCs/>
                <w:sz w:val="20"/>
                <w:szCs w:val="20"/>
              </w:rPr>
              <w:t>380</w:t>
            </w:r>
          </w:p>
        </w:tc>
        <w:tc>
          <w:tcPr>
            <w:tcW w:w="347" w:type="pct"/>
            <w:tcBorders>
              <w:top w:val="single" w:sz="4" w:space="0" w:color="auto"/>
              <w:left w:val="single" w:sz="4" w:space="0" w:color="auto"/>
              <w:bottom w:val="double" w:sz="6" w:space="0" w:color="auto"/>
              <w:right w:val="double" w:sz="6" w:space="0" w:color="auto"/>
            </w:tcBorders>
            <w:vAlign w:val="center"/>
          </w:tcPr>
          <w:p w:rsidR="00D76BAE" w:rsidRPr="00D76BAE" w:rsidRDefault="00D76BAE" w:rsidP="00D76BAE">
            <w:pPr>
              <w:jc w:val="center"/>
              <w:rPr>
                <w:rFonts w:asciiTheme="minorHAnsi" w:hAnsiTheme="minorHAnsi" w:cstheme="minorHAnsi"/>
                <w:b/>
                <w:bCs/>
                <w:sz w:val="20"/>
                <w:szCs w:val="20"/>
              </w:rPr>
            </w:pPr>
            <w:r w:rsidRPr="00D76BAE">
              <w:rPr>
                <w:rFonts w:asciiTheme="minorHAnsi" w:hAnsiTheme="minorHAnsi" w:cstheme="minorHAnsi"/>
                <w:b/>
                <w:bCs/>
                <w:sz w:val="20"/>
                <w:szCs w:val="20"/>
              </w:rPr>
              <w:t>132</w:t>
            </w:r>
          </w:p>
        </w:tc>
        <w:tc>
          <w:tcPr>
            <w:tcW w:w="459" w:type="pct"/>
            <w:tcBorders>
              <w:top w:val="single" w:sz="4" w:space="0" w:color="auto"/>
              <w:left w:val="double" w:sz="6" w:space="0" w:color="auto"/>
              <w:bottom w:val="double" w:sz="6" w:space="0" w:color="auto"/>
              <w:right w:val="single" w:sz="4" w:space="0" w:color="auto"/>
            </w:tcBorders>
            <w:vAlign w:val="bottom"/>
          </w:tcPr>
          <w:p w:rsidR="00D76BAE" w:rsidRPr="00D76BAE" w:rsidRDefault="00D76BAE" w:rsidP="00D76BAE">
            <w:pPr>
              <w:jc w:val="center"/>
              <w:rPr>
                <w:rFonts w:asciiTheme="minorHAnsi" w:hAnsiTheme="minorHAnsi" w:cstheme="minorHAnsi"/>
                <w:b/>
                <w:color w:val="FF0000"/>
                <w:sz w:val="20"/>
                <w:szCs w:val="20"/>
              </w:rPr>
            </w:pPr>
            <w:r w:rsidRPr="00D76BAE">
              <w:rPr>
                <w:rFonts w:asciiTheme="minorHAnsi" w:hAnsiTheme="minorHAnsi" w:cstheme="minorHAnsi"/>
                <w:b/>
                <w:color w:val="FF0000"/>
                <w:sz w:val="20"/>
                <w:szCs w:val="20"/>
              </w:rPr>
              <w:t>-1951</w:t>
            </w:r>
          </w:p>
        </w:tc>
        <w:tc>
          <w:tcPr>
            <w:tcW w:w="388" w:type="pct"/>
            <w:tcBorders>
              <w:top w:val="single" w:sz="4" w:space="0" w:color="auto"/>
              <w:left w:val="single" w:sz="4" w:space="0" w:color="auto"/>
              <w:bottom w:val="double" w:sz="6" w:space="0" w:color="auto"/>
              <w:right w:val="single" w:sz="4" w:space="0" w:color="auto"/>
            </w:tcBorders>
            <w:vAlign w:val="bottom"/>
          </w:tcPr>
          <w:p w:rsidR="00D76BAE" w:rsidRPr="00D76BAE" w:rsidRDefault="00D76BAE" w:rsidP="00D76BAE">
            <w:pPr>
              <w:jc w:val="center"/>
              <w:rPr>
                <w:rFonts w:asciiTheme="minorHAnsi" w:hAnsiTheme="minorHAnsi" w:cstheme="minorHAnsi"/>
                <w:b/>
                <w:color w:val="FF0000"/>
                <w:sz w:val="20"/>
                <w:szCs w:val="20"/>
              </w:rPr>
            </w:pPr>
            <w:r w:rsidRPr="00D76BAE">
              <w:rPr>
                <w:rFonts w:asciiTheme="minorHAnsi" w:hAnsiTheme="minorHAnsi" w:cstheme="minorHAnsi"/>
                <w:b/>
                <w:color w:val="FF0000"/>
                <w:sz w:val="20"/>
                <w:szCs w:val="20"/>
              </w:rPr>
              <w:t>-616</w:t>
            </w:r>
          </w:p>
        </w:tc>
        <w:tc>
          <w:tcPr>
            <w:tcW w:w="388" w:type="pct"/>
            <w:tcBorders>
              <w:top w:val="single" w:sz="4" w:space="0" w:color="auto"/>
              <w:left w:val="single" w:sz="4" w:space="0" w:color="auto"/>
              <w:bottom w:val="double" w:sz="6" w:space="0" w:color="auto"/>
              <w:right w:val="single" w:sz="4" w:space="0" w:color="auto"/>
            </w:tcBorders>
            <w:vAlign w:val="bottom"/>
          </w:tcPr>
          <w:p w:rsidR="00D76BAE" w:rsidRPr="00D76BAE" w:rsidRDefault="00D76BAE" w:rsidP="00D76BAE">
            <w:pPr>
              <w:jc w:val="center"/>
              <w:rPr>
                <w:rFonts w:asciiTheme="minorHAnsi" w:hAnsiTheme="minorHAnsi" w:cstheme="minorHAnsi"/>
                <w:b/>
                <w:color w:val="0033CC"/>
                <w:sz w:val="20"/>
                <w:szCs w:val="20"/>
              </w:rPr>
            </w:pPr>
            <w:r w:rsidRPr="00D76BAE">
              <w:rPr>
                <w:rFonts w:asciiTheme="minorHAnsi" w:hAnsiTheme="minorHAnsi" w:cstheme="minorHAnsi"/>
                <w:b/>
                <w:color w:val="0033CC"/>
                <w:sz w:val="20"/>
                <w:szCs w:val="20"/>
              </w:rPr>
              <w:t>331</w:t>
            </w:r>
          </w:p>
        </w:tc>
        <w:tc>
          <w:tcPr>
            <w:tcW w:w="387" w:type="pct"/>
            <w:tcBorders>
              <w:top w:val="single" w:sz="4" w:space="0" w:color="auto"/>
              <w:left w:val="single" w:sz="4" w:space="0" w:color="auto"/>
              <w:bottom w:val="double" w:sz="6" w:space="0" w:color="auto"/>
              <w:right w:val="double" w:sz="6" w:space="0" w:color="auto"/>
            </w:tcBorders>
            <w:shd w:val="clear" w:color="auto" w:fill="auto"/>
            <w:noWrap/>
            <w:vAlign w:val="bottom"/>
          </w:tcPr>
          <w:p w:rsidR="00D76BAE" w:rsidRPr="00D76BAE" w:rsidRDefault="00D76BAE" w:rsidP="00D76BAE">
            <w:pPr>
              <w:jc w:val="center"/>
              <w:rPr>
                <w:rFonts w:asciiTheme="minorHAnsi" w:hAnsiTheme="minorHAnsi" w:cstheme="minorHAnsi"/>
                <w:b/>
                <w:color w:val="0033CC"/>
                <w:sz w:val="20"/>
                <w:szCs w:val="20"/>
              </w:rPr>
            </w:pPr>
            <w:r w:rsidRPr="00D76BAE">
              <w:rPr>
                <w:rFonts w:asciiTheme="minorHAnsi" w:hAnsiTheme="minorHAnsi" w:cstheme="minorHAnsi"/>
                <w:b/>
                <w:color w:val="0033CC"/>
                <w:sz w:val="20"/>
                <w:szCs w:val="20"/>
              </w:rPr>
              <w:t>128</w:t>
            </w:r>
          </w:p>
        </w:tc>
      </w:tr>
    </w:tbl>
    <w:p w:rsidR="00B60941" w:rsidRDefault="00B60941" w:rsidP="00FD706A">
      <w:pPr>
        <w:jc w:val="center"/>
        <w:rPr>
          <w:rFonts w:ascii="Arial" w:hAnsi="Arial" w:cs="Arial"/>
          <w:b/>
          <w:sz w:val="22"/>
          <w:szCs w:val="22"/>
        </w:rPr>
      </w:pPr>
    </w:p>
    <w:p w:rsidR="00C0234C" w:rsidRDefault="00C0234C" w:rsidP="00FD706A">
      <w:pPr>
        <w:jc w:val="center"/>
        <w:rPr>
          <w:rFonts w:ascii="Arial" w:hAnsi="Arial" w:cs="Arial"/>
          <w:b/>
          <w:sz w:val="22"/>
          <w:szCs w:val="22"/>
        </w:rPr>
      </w:pPr>
    </w:p>
    <w:p w:rsidR="00BD0684" w:rsidRPr="0022296B" w:rsidRDefault="00BD0684" w:rsidP="00BD0684">
      <w:pPr>
        <w:jc w:val="both"/>
        <w:rPr>
          <w:rFonts w:ascii="Arial" w:hAnsi="Arial" w:cs="Arial"/>
          <w:sz w:val="22"/>
          <w:szCs w:val="22"/>
          <w:lang w:val="es-ES_tradnl"/>
        </w:rPr>
      </w:pPr>
      <w:r w:rsidRPr="0022296B">
        <w:rPr>
          <w:rFonts w:ascii="Arial" w:hAnsi="Arial" w:cs="Arial"/>
          <w:sz w:val="22"/>
          <w:szCs w:val="22"/>
          <w:lang w:val="es-ES_tradnl"/>
        </w:rPr>
        <w:t>La evolución en el tiempo de la concentración de P</w:t>
      </w:r>
      <w:r w:rsidR="003C5501" w:rsidRPr="0022296B">
        <w:rPr>
          <w:rFonts w:ascii="Arial" w:hAnsi="Arial" w:cs="Arial"/>
          <w:sz w:val="22"/>
          <w:szCs w:val="22"/>
          <w:lang w:val="es-ES_tradnl"/>
        </w:rPr>
        <w:t xml:space="preserve"> Bray-1</w:t>
      </w:r>
      <w:r w:rsidRPr="0022296B">
        <w:rPr>
          <w:rFonts w:ascii="Arial" w:hAnsi="Arial" w:cs="Arial"/>
          <w:sz w:val="22"/>
          <w:szCs w:val="22"/>
          <w:lang w:val="es-ES_tradnl"/>
        </w:rPr>
        <w:t xml:space="preserve"> en suelo</w:t>
      </w:r>
      <w:r w:rsidR="00DE584B" w:rsidRPr="0022296B">
        <w:rPr>
          <w:rFonts w:ascii="Arial" w:hAnsi="Arial" w:cs="Arial"/>
          <w:sz w:val="22"/>
          <w:szCs w:val="22"/>
          <w:lang w:val="es-ES_tradnl"/>
        </w:rPr>
        <w:t xml:space="preserve"> (</w:t>
      </w:r>
      <w:r w:rsidRPr="0022296B">
        <w:rPr>
          <w:rFonts w:ascii="Arial" w:hAnsi="Arial" w:cs="Arial"/>
          <w:b/>
          <w:sz w:val="22"/>
          <w:szCs w:val="22"/>
          <w:lang w:val="es-ES_tradnl"/>
        </w:rPr>
        <w:t>Figura 3</w:t>
      </w:r>
      <w:r w:rsidR="00DE584B" w:rsidRPr="0022296B">
        <w:rPr>
          <w:rFonts w:ascii="Arial" w:hAnsi="Arial" w:cs="Arial"/>
          <w:sz w:val="22"/>
          <w:szCs w:val="22"/>
          <w:lang w:val="es-ES_tradnl"/>
        </w:rPr>
        <w:t xml:space="preserve">) reflejó las tendencias observadas en los balances de </w:t>
      </w:r>
      <w:r w:rsidR="00DE584B" w:rsidRPr="0022296B">
        <w:rPr>
          <w:rFonts w:ascii="Arial" w:hAnsi="Arial" w:cs="Arial"/>
          <w:b/>
          <w:sz w:val="22"/>
          <w:szCs w:val="22"/>
          <w:lang w:val="es-ES_tradnl"/>
        </w:rPr>
        <w:t>Tabla 2</w:t>
      </w:r>
      <w:r w:rsidR="00DE584B" w:rsidRPr="0022296B">
        <w:rPr>
          <w:rFonts w:ascii="Arial" w:hAnsi="Arial" w:cs="Arial"/>
          <w:sz w:val="22"/>
          <w:szCs w:val="22"/>
          <w:lang w:val="es-ES_tradnl"/>
        </w:rPr>
        <w:t xml:space="preserve">. </w:t>
      </w:r>
      <w:r w:rsidRPr="0022296B">
        <w:rPr>
          <w:rFonts w:ascii="Arial" w:hAnsi="Arial" w:cs="Arial"/>
          <w:sz w:val="22"/>
          <w:szCs w:val="22"/>
          <w:lang w:val="es-ES_tradnl"/>
        </w:rPr>
        <w:t xml:space="preserve">Incrementos muy notables en el P </w:t>
      </w:r>
      <w:r w:rsidR="003C5501" w:rsidRPr="0022296B">
        <w:rPr>
          <w:rFonts w:ascii="Arial" w:hAnsi="Arial" w:cs="Arial"/>
          <w:sz w:val="22"/>
          <w:szCs w:val="22"/>
          <w:lang w:val="es-ES_tradnl"/>
        </w:rPr>
        <w:t>Bray-1</w:t>
      </w:r>
      <w:r w:rsidRPr="0022296B">
        <w:rPr>
          <w:rFonts w:ascii="Arial" w:hAnsi="Arial" w:cs="Arial"/>
          <w:sz w:val="22"/>
          <w:szCs w:val="22"/>
          <w:lang w:val="es-ES_tradnl"/>
        </w:rPr>
        <w:t xml:space="preserve"> </w:t>
      </w:r>
      <w:r w:rsidR="0033534A">
        <w:rPr>
          <w:rFonts w:ascii="Arial" w:hAnsi="Arial" w:cs="Arial"/>
          <w:sz w:val="22"/>
          <w:szCs w:val="22"/>
          <w:lang w:val="es-ES_tradnl"/>
        </w:rPr>
        <w:t xml:space="preserve">en suelo </w:t>
      </w:r>
      <w:r w:rsidRPr="0022296B">
        <w:rPr>
          <w:rFonts w:ascii="Arial" w:hAnsi="Arial" w:cs="Arial"/>
          <w:sz w:val="22"/>
          <w:szCs w:val="22"/>
          <w:lang w:val="es-ES_tradnl"/>
        </w:rPr>
        <w:t xml:space="preserve">como resultado de un balance positivo de P fueron documentados por </w:t>
      </w:r>
      <w:proofErr w:type="spellStart"/>
      <w:r w:rsidRPr="0022296B">
        <w:rPr>
          <w:rFonts w:ascii="Arial" w:hAnsi="Arial" w:cs="Arial"/>
          <w:sz w:val="22"/>
          <w:szCs w:val="22"/>
          <w:lang w:val="es-ES_tradnl"/>
        </w:rPr>
        <w:t>Mallarino</w:t>
      </w:r>
      <w:proofErr w:type="spellEnd"/>
      <w:r w:rsidRPr="0022296B">
        <w:rPr>
          <w:rFonts w:ascii="Arial" w:hAnsi="Arial" w:cs="Arial"/>
          <w:sz w:val="22"/>
          <w:szCs w:val="22"/>
          <w:lang w:val="es-ES_tradnl"/>
        </w:rPr>
        <w:t xml:space="preserve"> y </w:t>
      </w:r>
      <w:proofErr w:type="spellStart"/>
      <w:r w:rsidRPr="0022296B">
        <w:rPr>
          <w:rFonts w:ascii="Arial" w:hAnsi="Arial" w:cs="Arial"/>
          <w:sz w:val="22"/>
          <w:szCs w:val="22"/>
          <w:lang w:val="es-ES_tradnl"/>
        </w:rPr>
        <w:t>Prater</w:t>
      </w:r>
      <w:proofErr w:type="spellEnd"/>
      <w:r w:rsidRPr="0022296B">
        <w:rPr>
          <w:rFonts w:ascii="Arial" w:hAnsi="Arial" w:cs="Arial"/>
          <w:sz w:val="22"/>
          <w:szCs w:val="22"/>
          <w:lang w:val="es-ES_tradnl"/>
        </w:rPr>
        <w:t xml:space="preserve"> (2007), quienes postulan que la tasa de incremento es superior en el rango medio de disponibilidad, y que una vez alcanzado un nivel alto es necesario agregar mayores dosis de P para mantener/aumentar su concentración en el suelo, por el permanente pasaje de P en solución o adsorbido a fracciones más estables. </w:t>
      </w:r>
    </w:p>
    <w:p w:rsidR="00BD0684" w:rsidRPr="0022296B" w:rsidRDefault="00BD0684" w:rsidP="00BD0684">
      <w:pPr>
        <w:jc w:val="both"/>
        <w:rPr>
          <w:rFonts w:ascii="Arial" w:hAnsi="Arial" w:cs="Arial"/>
          <w:sz w:val="22"/>
          <w:szCs w:val="22"/>
          <w:lang w:val="es-ES_tradnl"/>
        </w:rPr>
      </w:pPr>
      <w:r w:rsidRPr="0022296B">
        <w:rPr>
          <w:rFonts w:ascii="Arial" w:hAnsi="Arial" w:cs="Arial"/>
          <w:sz w:val="22"/>
          <w:szCs w:val="22"/>
          <w:lang w:val="es-ES_tradnl"/>
        </w:rPr>
        <w:t>El contenido de MO</w:t>
      </w:r>
      <w:r w:rsidR="00DE584B" w:rsidRPr="0022296B">
        <w:rPr>
          <w:rFonts w:ascii="Arial" w:hAnsi="Arial" w:cs="Arial"/>
          <w:sz w:val="22"/>
          <w:szCs w:val="22"/>
          <w:lang w:val="es-ES_tradnl"/>
        </w:rPr>
        <w:t>, N total</w:t>
      </w:r>
      <w:r w:rsidRPr="0022296B">
        <w:rPr>
          <w:rFonts w:ascii="Arial" w:hAnsi="Arial" w:cs="Arial"/>
          <w:sz w:val="22"/>
          <w:szCs w:val="22"/>
          <w:lang w:val="es-ES_tradnl"/>
        </w:rPr>
        <w:t xml:space="preserve"> no m</w:t>
      </w:r>
      <w:r w:rsidR="001A43D6">
        <w:rPr>
          <w:rFonts w:ascii="Arial" w:hAnsi="Arial" w:cs="Arial"/>
          <w:sz w:val="22"/>
          <w:szCs w:val="22"/>
          <w:lang w:val="es-ES_tradnl"/>
        </w:rPr>
        <w:t>anifestaron cambios importantes.</w:t>
      </w:r>
      <w:r w:rsidRPr="0022296B">
        <w:rPr>
          <w:rFonts w:ascii="Arial" w:hAnsi="Arial" w:cs="Arial"/>
          <w:sz w:val="22"/>
          <w:szCs w:val="22"/>
          <w:lang w:val="es-ES_tradnl"/>
        </w:rPr>
        <w:t xml:space="preserve"> </w:t>
      </w:r>
      <w:r w:rsidR="001A43D6">
        <w:rPr>
          <w:rFonts w:ascii="Arial" w:hAnsi="Arial" w:cs="Arial"/>
          <w:sz w:val="22"/>
          <w:szCs w:val="22"/>
          <w:lang w:val="es-ES_tradnl"/>
        </w:rPr>
        <w:t>E</w:t>
      </w:r>
      <w:r w:rsidRPr="0022296B">
        <w:rPr>
          <w:rFonts w:ascii="Arial" w:hAnsi="Arial" w:cs="Arial"/>
          <w:sz w:val="22"/>
          <w:szCs w:val="22"/>
          <w:lang w:val="es-ES_tradnl"/>
        </w:rPr>
        <w:t>l testi</w:t>
      </w:r>
      <w:r w:rsidR="003A50EA">
        <w:rPr>
          <w:rFonts w:ascii="Arial" w:hAnsi="Arial" w:cs="Arial"/>
          <w:sz w:val="22"/>
          <w:szCs w:val="22"/>
          <w:lang w:val="es-ES_tradnl"/>
        </w:rPr>
        <w:t>go fue el tratamiento con mayor nivel final</w:t>
      </w:r>
      <w:r w:rsidRPr="0022296B">
        <w:rPr>
          <w:rFonts w:ascii="Arial" w:hAnsi="Arial" w:cs="Arial"/>
          <w:sz w:val="22"/>
          <w:szCs w:val="22"/>
          <w:lang w:val="es-ES_tradnl"/>
        </w:rPr>
        <w:t xml:space="preserve"> de pH, de acuerdo con su menor aporte de residuos</w:t>
      </w:r>
      <w:r w:rsidR="003C5501" w:rsidRPr="0022296B">
        <w:rPr>
          <w:rFonts w:ascii="Arial" w:hAnsi="Arial" w:cs="Arial"/>
          <w:sz w:val="22"/>
          <w:szCs w:val="22"/>
          <w:lang w:val="es-ES_tradnl"/>
        </w:rPr>
        <w:t>, menor exportación de bases</w:t>
      </w:r>
      <w:r w:rsidRPr="0022296B">
        <w:rPr>
          <w:rFonts w:ascii="Arial" w:hAnsi="Arial" w:cs="Arial"/>
          <w:sz w:val="22"/>
          <w:szCs w:val="22"/>
          <w:lang w:val="es-ES_tradnl"/>
        </w:rPr>
        <w:t xml:space="preserve"> y la ausencia de efecto acidificante de los fertilizantes (</w:t>
      </w:r>
      <w:r w:rsidRPr="0022296B">
        <w:rPr>
          <w:rFonts w:ascii="Arial" w:hAnsi="Arial" w:cs="Arial"/>
          <w:b/>
          <w:sz w:val="22"/>
          <w:szCs w:val="22"/>
          <w:lang w:val="es-ES_tradnl"/>
        </w:rPr>
        <w:t>Tabla 3</w:t>
      </w:r>
      <w:r w:rsidRPr="0022296B">
        <w:rPr>
          <w:rFonts w:ascii="Arial" w:hAnsi="Arial" w:cs="Arial"/>
          <w:sz w:val="22"/>
          <w:szCs w:val="22"/>
          <w:lang w:val="es-ES_tradnl"/>
        </w:rPr>
        <w:t xml:space="preserve">). </w:t>
      </w:r>
      <w:r w:rsidR="00DE584B" w:rsidRPr="0022296B">
        <w:rPr>
          <w:rFonts w:ascii="Arial" w:hAnsi="Arial" w:cs="Arial"/>
          <w:sz w:val="22"/>
          <w:szCs w:val="22"/>
          <w:lang w:val="es-ES_tradnl"/>
        </w:rPr>
        <w:t>Es probable que l</w:t>
      </w:r>
      <w:r w:rsidRPr="0022296B">
        <w:rPr>
          <w:rFonts w:ascii="Arial" w:hAnsi="Arial" w:cs="Arial"/>
          <w:sz w:val="22"/>
          <w:szCs w:val="22"/>
          <w:lang w:val="es-ES_tradnl"/>
        </w:rPr>
        <w:t>os plazos abarcados por esta experiencia sean todavía breves para reflejar efectos de mayor magnitud</w:t>
      </w:r>
      <w:r w:rsidR="001A43D6">
        <w:rPr>
          <w:rFonts w:ascii="Arial" w:hAnsi="Arial" w:cs="Arial"/>
          <w:sz w:val="22"/>
          <w:szCs w:val="22"/>
          <w:lang w:val="es-ES_tradnl"/>
        </w:rPr>
        <w:t xml:space="preserve"> en parámetros como MO o N total</w:t>
      </w:r>
      <w:r w:rsidRPr="0022296B">
        <w:rPr>
          <w:rFonts w:ascii="Arial" w:hAnsi="Arial" w:cs="Arial"/>
          <w:sz w:val="22"/>
          <w:szCs w:val="22"/>
          <w:lang w:val="es-ES_tradnl"/>
        </w:rPr>
        <w:t>.</w:t>
      </w:r>
      <w:r w:rsidR="000D77A6">
        <w:rPr>
          <w:rFonts w:ascii="Arial" w:hAnsi="Arial" w:cs="Arial"/>
          <w:sz w:val="22"/>
          <w:szCs w:val="22"/>
          <w:lang w:val="es-ES_tradnl"/>
        </w:rPr>
        <w:t xml:space="preserve"> Apoyando estos resultados, </w:t>
      </w:r>
      <w:r w:rsidR="0016451E">
        <w:rPr>
          <w:rFonts w:ascii="Arial" w:hAnsi="Arial" w:cs="Arial"/>
          <w:sz w:val="22"/>
          <w:szCs w:val="22"/>
          <w:lang w:val="es-ES_tradnl"/>
        </w:rPr>
        <w:t xml:space="preserve">el promedio de cinco sitios de </w:t>
      </w:r>
      <w:r w:rsidR="000D77A6">
        <w:rPr>
          <w:rFonts w:ascii="Arial" w:hAnsi="Arial" w:cs="Arial"/>
          <w:sz w:val="22"/>
          <w:szCs w:val="22"/>
          <w:lang w:val="es-ES_tradnl"/>
        </w:rPr>
        <w:t xml:space="preserve">una red conducida por los grupos CREA en el Sur de Santa Fe mostró luego de 13 años una caída de MO de 3,1 a 2,7 %, y un incremento en el pH de 5,7 a 6,1 en el tratamiento Testigo, en comparación </w:t>
      </w:r>
      <w:r w:rsidR="0016451E">
        <w:rPr>
          <w:rFonts w:ascii="Arial" w:hAnsi="Arial" w:cs="Arial"/>
          <w:sz w:val="22"/>
          <w:szCs w:val="22"/>
          <w:lang w:val="es-ES_tradnl"/>
        </w:rPr>
        <w:t>con la fertilización permanente con NPS (</w:t>
      </w:r>
      <w:proofErr w:type="spellStart"/>
      <w:r w:rsidR="0016451E">
        <w:rPr>
          <w:rFonts w:ascii="Arial" w:hAnsi="Arial" w:cs="Arial"/>
          <w:sz w:val="22"/>
          <w:szCs w:val="22"/>
          <w:lang w:val="es-ES_tradnl"/>
        </w:rPr>
        <w:t>Boxler</w:t>
      </w:r>
      <w:proofErr w:type="spellEnd"/>
      <w:r w:rsidR="0016451E">
        <w:rPr>
          <w:rFonts w:ascii="Arial" w:hAnsi="Arial" w:cs="Arial"/>
          <w:sz w:val="22"/>
          <w:szCs w:val="22"/>
          <w:lang w:val="es-ES_tradnl"/>
        </w:rPr>
        <w:t xml:space="preserve"> et al., 2013).</w:t>
      </w:r>
    </w:p>
    <w:p w:rsidR="00D548FC" w:rsidRDefault="00E547B1" w:rsidP="00D548FC">
      <w:pPr>
        <w:jc w:val="center"/>
        <w:rPr>
          <w:rFonts w:ascii="Arial" w:hAnsi="Arial" w:cs="Arial"/>
          <w:b/>
          <w:sz w:val="20"/>
          <w:szCs w:val="22"/>
          <w:lang w:val="es-ES_tradnl"/>
        </w:rPr>
      </w:pPr>
      <w:r w:rsidRPr="00E547B1">
        <w:rPr>
          <w:noProof/>
          <w:color w:val="000099"/>
        </w:rPr>
        <w:lastRenderedPageBreak/>
        <w:drawing>
          <wp:inline distT="0" distB="0" distL="0" distR="0" wp14:anchorId="4924279A" wp14:editId="587013E1">
            <wp:extent cx="6359525" cy="3314700"/>
            <wp:effectExtent l="0" t="0" r="0" b="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A6E3E" w:rsidRDefault="003E473F" w:rsidP="00FD706A">
      <w:pPr>
        <w:jc w:val="both"/>
        <w:rPr>
          <w:rFonts w:ascii="Arial" w:hAnsi="Arial" w:cs="Arial"/>
          <w:b/>
          <w:sz w:val="20"/>
          <w:szCs w:val="22"/>
        </w:rPr>
      </w:pPr>
      <w:r w:rsidRPr="0022296B">
        <w:rPr>
          <w:rFonts w:ascii="Arial" w:hAnsi="Arial" w:cs="Arial"/>
          <w:b/>
          <w:sz w:val="20"/>
          <w:szCs w:val="22"/>
          <w:lang w:val="es-ES_tradnl"/>
        </w:rPr>
        <w:t>Figura 3</w:t>
      </w:r>
      <w:r w:rsidR="00F67DBE" w:rsidRPr="0022296B">
        <w:rPr>
          <w:rFonts w:ascii="Arial" w:hAnsi="Arial" w:cs="Arial"/>
          <w:b/>
          <w:sz w:val="20"/>
          <w:szCs w:val="22"/>
          <w:lang w:val="es-ES_tradnl"/>
        </w:rPr>
        <w:t>.</w:t>
      </w:r>
      <w:r w:rsidRPr="0022296B">
        <w:rPr>
          <w:rFonts w:ascii="Arial" w:hAnsi="Arial" w:cs="Arial"/>
          <w:sz w:val="20"/>
          <w:szCs w:val="22"/>
          <w:lang w:val="es-ES_tradnl"/>
        </w:rPr>
        <w:t xml:space="preserve"> Evolución del P </w:t>
      </w:r>
      <w:r w:rsidR="0008287D" w:rsidRPr="0022296B">
        <w:rPr>
          <w:rFonts w:ascii="Arial" w:hAnsi="Arial" w:cs="Arial"/>
          <w:sz w:val="20"/>
          <w:szCs w:val="22"/>
          <w:lang w:val="es-ES_tradnl"/>
        </w:rPr>
        <w:t>extractable</w:t>
      </w:r>
      <w:r w:rsidRPr="0022296B">
        <w:rPr>
          <w:rFonts w:ascii="Arial" w:hAnsi="Arial" w:cs="Arial"/>
          <w:sz w:val="20"/>
          <w:szCs w:val="22"/>
          <w:lang w:val="es-ES_tradnl"/>
        </w:rPr>
        <w:t xml:space="preserve"> en suelo (Bray-1, 0-20 cm) según estrategia de fertilización, luego de </w:t>
      </w:r>
      <w:r w:rsidR="001A43D6">
        <w:rPr>
          <w:rFonts w:ascii="Arial" w:hAnsi="Arial" w:cs="Arial"/>
          <w:sz w:val="20"/>
          <w:szCs w:val="22"/>
          <w:lang w:val="es-ES_tradnl"/>
        </w:rPr>
        <w:t>d</w:t>
      </w:r>
      <w:r w:rsidR="00D548FC">
        <w:rPr>
          <w:rFonts w:ascii="Arial" w:hAnsi="Arial" w:cs="Arial"/>
          <w:sz w:val="20"/>
          <w:szCs w:val="22"/>
          <w:lang w:val="es-ES_tradnl"/>
        </w:rPr>
        <w:t>oce</w:t>
      </w:r>
      <w:r w:rsidRPr="0022296B">
        <w:rPr>
          <w:rFonts w:ascii="Arial" w:hAnsi="Arial" w:cs="Arial"/>
          <w:sz w:val="20"/>
          <w:szCs w:val="22"/>
          <w:lang w:val="es-ES_tradnl"/>
        </w:rPr>
        <w:t xml:space="preserve"> </w:t>
      </w:r>
      <w:r w:rsidR="00FB2F79" w:rsidRPr="0022296B">
        <w:rPr>
          <w:rFonts w:ascii="Arial" w:hAnsi="Arial" w:cs="Arial"/>
          <w:sz w:val="20"/>
          <w:szCs w:val="22"/>
          <w:lang w:val="es-ES_tradnl"/>
        </w:rPr>
        <w:t xml:space="preserve">campañas y </w:t>
      </w:r>
      <w:r w:rsidR="00D548FC">
        <w:rPr>
          <w:rFonts w:ascii="Arial" w:hAnsi="Arial" w:cs="Arial"/>
          <w:sz w:val="20"/>
          <w:szCs w:val="22"/>
          <w:lang w:val="es-ES_tradnl"/>
        </w:rPr>
        <w:t>diecisiete</w:t>
      </w:r>
      <w:r w:rsidRPr="0022296B">
        <w:rPr>
          <w:rFonts w:ascii="Arial" w:hAnsi="Arial" w:cs="Arial"/>
          <w:sz w:val="20"/>
          <w:szCs w:val="22"/>
          <w:lang w:val="es-ES_tradnl"/>
        </w:rPr>
        <w:t xml:space="preserve"> cultivos</w:t>
      </w:r>
      <w:r w:rsidR="00D548FC">
        <w:rPr>
          <w:rFonts w:ascii="Arial" w:hAnsi="Arial" w:cs="Arial"/>
          <w:sz w:val="20"/>
          <w:szCs w:val="22"/>
          <w:lang w:val="es-ES_tradnl"/>
        </w:rPr>
        <w:t>, hasta la campaña 201</w:t>
      </w:r>
      <w:r w:rsidR="00E547B1">
        <w:rPr>
          <w:rFonts w:ascii="Arial" w:hAnsi="Arial" w:cs="Arial"/>
          <w:sz w:val="20"/>
          <w:szCs w:val="22"/>
          <w:lang w:val="es-ES_tradnl"/>
        </w:rPr>
        <w:t>8</w:t>
      </w:r>
      <w:r w:rsidR="001A43D6">
        <w:rPr>
          <w:rFonts w:ascii="Arial" w:hAnsi="Arial" w:cs="Arial"/>
          <w:sz w:val="20"/>
          <w:szCs w:val="22"/>
          <w:lang w:val="es-ES_tradnl"/>
        </w:rPr>
        <w:t>/1</w:t>
      </w:r>
      <w:r w:rsidR="00E547B1">
        <w:rPr>
          <w:rFonts w:ascii="Arial" w:hAnsi="Arial" w:cs="Arial"/>
          <w:sz w:val="20"/>
          <w:szCs w:val="22"/>
          <w:lang w:val="es-ES_tradnl"/>
        </w:rPr>
        <w:t>9</w:t>
      </w:r>
      <w:r w:rsidR="001A43D6">
        <w:rPr>
          <w:rFonts w:ascii="Arial" w:hAnsi="Arial" w:cs="Arial"/>
          <w:sz w:val="20"/>
          <w:szCs w:val="22"/>
          <w:lang w:val="es-ES_tradnl"/>
        </w:rPr>
        <w:t xml:space="preserve">. </w:t>
      </w:r>
    </w:p>
    <w:p w:rsidR="00EA6E3E" w:rsidRDefault="00EA6E3E" w:rsidP="00FD706A">
      <w:pPr>
        <w:jc w:val="both"/>
        <w:rPr>
          <w:rFonts w:ascii="Arial" w:hAnsi="Arial" w:cs="Arial"/>
          <w:b/>
          <w:sz w:val="20"/>
          <w:szCs w:val="22"/>
        </w:rPr>
      </w:pPr>
    </w:p>
    <w:p w:rsidR="000E1462" w:rsidRPr="0022296B" w:rsidRDefault="00B26720" w:rsidP="00FD706A">
      <w:pPr>
        <w:jc w:val="both"/>
        <w:rPr>
          <w:rFonts w:ascii="Arial" w:hAnsi="Arial" w:cs="Arial"/>
          <w:sz w:val="20"/>
          <w:szCs w:val="22"/>
          <w:lang w:val="es-ES_tradnl"/>
        </w:rPr>
      </w:pPr>
      <w:r w:rsidRPr="0022296B">
        <w:rPr>
          <w:rFonts w:ascii="Arial" w:hAnsi="Arial" w:cs="Arial"/>
          <w:b/>
          <w:sz w:val="20"/>
          <w:szCs w:val="22"/>
        </w:rPr>
        <w:t xml:space="preserve">Tabla </w:t>
      </w:r>
      <w:r w:rsidR="00521493" w:rsidRPr="0022296B">
        <w:rPr>
          <w:rFonts w:ascii="Arial" w:hAnsi="Arial" w:cs="Arial"/>
          <w:b/>
          <w:sz w:val="20"/>
          <w:szCs w:val="22"/>
        </w:rPr>
        <w:t>3</w:t>
      </w:r>
      <w:r w:rsidR="00F67DBE" w:rsidRPr="0022296B">
        <w:rPr>
          <w:rFonts w:ascii="Arial" w:hAnsi="Arial" w:cs="Arial"/>
          <w:b/>
          <w:sz w:val="20"/>
          <w:szCs w:val="22"/>
        </w:rPr>
        <w:t>.</w:t>
      </w:r>
      <w:r w:rsidRPr="0022296B">
        <w:rPr>
          <w:rFonts w:ascii="Arial" w:hAnsi="Arial" w:cs="Arial"/>
          <w:sz w:val="20"/>
          <w:szCs w:val="22"/>
        </w:rPr>
        <w:t xml:space="preserve"> </w:t>
      </w:r>
      <w:r w:rsidR="000E1462" w:rsidRPr="0022296B">
        <w:rPr>
          <w:rFonts w:ascii="Arial" w:hAnsi="Arial" w:cs="Arial"/>
          <w:sz w:val="20"/>
          <w:szCs w:val="22"/>
          <w:lang w:val="es-ES_tradnl"/>
        </w:rPr>
        <w:t>Análisis de suelo (0-20 cm) luego de</w:t>
      </w:r>
      <w:r w:rsidR="00C63769" w:rsidRPr="0022296B">
        <w:rPr>
          <w:rFonts w:ascii="Arial" w:hAnsi="Arial" w:cs="Arial"/>
          <w:sz w:val="20"/>
          <w:szCs w:val="22"/>
          <w:lang w:val="es-ES_tradnl"/>
        </w:rPr>
        <w:t xml:space="preserve"> </w:t>
      </w:r>
      <w:r w:rsidR="00E547B1">
        <w:rPr>
          <w:rFonts w:ascii="Arial" w:hAnsi="Arial" w:cs="Arial"/>
          <w:sz w:val="20"/>
          <w:szCs w:val="22"/>
          <w:lang w:val="es-ES_tradnl"/>
        </w:rPr>
        <w:t xml:space="preserve">trece </w:t>
      </w:r>
      <w:r w:rsidR="00C63769" w:rsidRPr="0022296B">
        <w:rPr>
          <w:rFonts w:ascii="Arial" w:hAnsi="Arial" w:cs="Arial"/>
          <w:sz w:val="20"/>
          <w:szCs w:val="22"/>
          <w:lang w:val="es-ES_tradnl"/>
        </w:rPr>
        <w:t>campañas, y su comparación con el nivel al inicio del experimento.</w:t>
      </w:r>
      <w:r w:rsidR="00417650" w:rsidRPr="0022296B">
        <w:rPr>
          <w:rFonts w:ascii="Arial" w:hAnsi="Arial" w:cs="Arial"/>
          <w:sz w:val="20"/>
          <w:szCs w:val="22"/>
          <w:lang w:val="es-ES_tradnl"/>
        </w:rPr>
        <w:t xml:space="preserve"> </w:t>
      </w:r>
      <w:r w:rsidR="000E1462" w:rsidRPr="0022296B">
        <w:rPr>
          <w:rFonts w:ascii="Arial" w:hAnsi="Arial" w:cs="Arial"/>
          <w:sz w:val="20"/>
          <w:szCs w:val="22"/>
          <w:lang w:val="es-ES_tradnl"/>
        </w:rPr>
        <w:t>Los datos son promedio de cuatro repeticiones.</w:t>
      </w:r>
    </w:p>
    <w:tbl>
      <w:tblPr>
        <w:tblW w:w="9398" w:type="dxa"/>
        <w:jc w:val="center"/>
        <w:tblLayout w:type="fixed"/>
        <w:tblCellMar>
          <w:left w:w="70" w:type="dxa"/>
          <w:right w:w="70" w:type="dxa"/>
        </w:tblCellMar>
        <w:tblLook w:val="0000" w:firstRow="0" w:lastRow="0" w:firstColumn="0" w:lastColumn="0" w:noHBand="0" w:noVBand="0"/>
      </w:tblPr>
      <w:tblGrid>
        <w:gridCol w:w="1387"/>
        <w:gridCol w:w="1068"/>
        <w:gridCol w:w="1092"/>
        <w:gridCol w:w="1260"/>
        <w:gridCol w:w="1531"/>
        <w:gridCol w:w="1520"/>
        <w:gridCol w:w="1540"/>
      </w:tblGrid>
      <w:tr w:rsidR="0081131F" w:rsidRPr="0022296B" w:rsidTr="00EA6E3E">
        <w:trPr>
          <w:trHeight w:val="270"/>
          <w:jc w:val="center"/>
        </w:trPr>
        <w:tc>
          <w:tcPr>
            <w:tcW w:w="1387" w:type="dxa"/>
            <w:tcBorders>
              <w:top w:val="double" w:sz="6" w:space="0" w:color="auto"/>
              <w:left w:val="double" w:sz="6" w:space="0" w:color="auto"/>
              <w:bottom w:val="double" w:sz="6" w:space="0" w:color="auto"/>
              <w:right w:val="single" w:sz="4" w:space="0" w:color="auto"/>
            </w:tcBorders>
            <w:shd w:val="clear" w:color="auto" w:fill="auto"/>
            <w:noWrap/>
            <w:vAlign w:val="center"/>
          </w:tcPr>
          <w:p w:rsidR="0081131F" w:rsidRPr="005C5B4B" w:rsidRDefault="0081131F" w:rsidP="00D16C7D">
            <w:pPr>
              <w:jc w:val="center"/>
              <w:rPr>
                <w:rFonts w:ascii="Arial" w:hAnsi="Arial" w:cs="Arial"/>
                <w:b/>
                <w:sz w:val="20"/>
                <w:szCs w:val="22"/>
              </w:rPr>
            </w:pPr>
            <w:r w:rsidRPr="005C5B4B">
              <w:rPr>
                <w:rFonts w:ascii="Arial" w:hAnsi="Arial" w:cs="Arial"/>
                <w:b/>
                <w:sz w:val="20"/>
                <w:szCs w:val="22"/>
              </w:rPr>
              <w:t>Tratamiento</w:t>
            </w:r>
          </w:p>
        </w:tc>
        <w:tc>
          <w:tcPr>
            <w:tcW w:w="1068" w:type="dxa"/>
            <w:tcBorders>
              <w:top w:val="double" w:sz="6" w:space="0" w:color="auto"/>
              <w:left w:val="nil"/>
              <w:bottom w:val="double" w:sz="6" w:space="0" w:color="auto"/>
              <w:right w:val="single" w:sz="4" w:space="0" w:color="auto"/>
            </w:tcBorders>
            <w:shd w:val="clear" w:color="auto" w:fill="auto"/>
            <w:noWrap/>
            <w:vAlign w:val="center"/>
          </w:tcPr>
          <w:p w:rsidR="002824E4" w:rsidRPr="005C5B4B" w:rsidRDefault="0081131F">
            <w:pPr>
              <w:jc w:val="center"/>
              <w:rPr>
                <w:rFonts w:ascii="Arial" w:hAnsi="Arial" w:cs="Arial"/>
                <w:b/>
                <w:sz w:val="20"/>
                <w:szCs w:val="22"/>
              </w:rPr>
            </w:pPr>
            <w:r w:rsidRPr="005C5B4B">
              <w:rPr>
                <w:rFonts w:ascii="Arial" w:hAnsi="Arial" w:cs="Arial"/>
                <w:b/>
                <w:sz w:val="20"/>
                <w:szCs w:val="22"/>
              </w:rPr>
              <w:t>MO</w:t>
            </w:r>
          </w:p>
          <w:p w:rsidR="002824E4" w:rsidRPr="005C5B4B" w:rsidRDefault="0081131F">
            <w:pPr>
              <w:jc w:val="center"/>
              <w:rPr>
                <w:rFonts w:ascii="Arial" w:hAnsi="Arial" w:cs="Arial"/>
                <w:b/>
                <w:sz w:val="20"/>
                <w:szCs w:val="22"/>
              </w:rPr>
            </w:pPr>
            <w:r w:rsidRPr="005C5B4B">
              <w:rPr>
                <w:rFonts w:ascii="Arial" w:hAnsi="Arial" w:cs="Arial"/>
                <w:b/>
                <w:sz w:val="20"/>
                <w:szCs w:val="22"/>
              </w:rPr>
              <w:t>(%)</w:t>
            </w:r>
          </w:p>
        </w:tc>
        <w:tc>
          <w:tcPr>
            <w:tcW w:w="1092" w:type="dxa"/>
            <w:tcBorders>
              <w:top w:val="double" w:sz="6" w:space="0" w:color="auto"/>
              <w:left w:val="nil"/>
              <w:bottom w:val="double" w:sz="6" w:space="0" w:color="auto"/>
              <w:right w:val="single" w:sz="4" w:space="0" w:color="auto"/>
            </w:tcBorders>
            <w:shd w:val="clear" w:color="auto" w:fill="auto"/>
            <w:noWrap/>
            <w:vAlign w:val="center"/>
          </w:tcPr>
          <w:p w:rsidR="002824E4" w:rsidRPr="005C5B4B" w:rsidRDefault="0081131F">
            <w:pPr>
              <w:jc w:val="center"/>
              <w:rPr>
                <w:rFonts w:ascii="Arial" w:hAnsi="Arial" w:cs="Arial"/>
                <w:b/>
                <w:sz w:val="20"/>
                <w:szCs w:val="22"/>
              </w:rPr>
            </w:pPr>
            <w:r w:rsidRPr="005C5B4B">
              <w:rPr>
                <w:rFonts w:ascii="Arial" w:hAnsi="Arial" w:cs="Arial"/>
                <w:b/>
                <w:sz w:val="20"/>
                <w:szCs w:val="22"/>
              </w:rPr>
              <w:t>pH</w:t>
            </w:r>
          </w:p>
        </w:tc>
        <w:tc>
          <w:tcPr>
            <w:tcW w:w="1260" w:type="dxa"/>
            <w:tcBorders>
              <w:top w:val="double" w:sz="6" w:space="0" w:color="auto"/>
              <w:left w:val="nil"/>
              <w:bottom w:val="double" w:sz="6" w:space="0" w:color="auto"/>
              <w:right w:val="single" w:sz="4" w:space="0" w:color="auto"/>
            </w:tcBorders>
            <w:shd w:val="clear" w:color="auto" w:fill="auto"/>
            <w:noWrap/>
            <w:vAlign w:val="center"/>
          </w:tcPr>
          <w:p w:rsidR="002824E4" w:rsidRPr="005C5B4B" w:rsidRDefault="0081131F">
            <w:pPr>
              <w:jc w:val="center"/>
              <w:rPr>
                <w:rFonts w:ascii="Arial" w:hAnsi="Arial" w:cs="Arial"/>
                <w:b/>
                <w:sz w:val="20"/>
                <w:szCs w:val="22"/>
              </w:rPr>
            </w:pPr>
            <w:r w:rsidRPr="005C5B4B">
              <w:rPr>
                <w:rFonts w:ascii="Arial" w:hAnsi="Arial" w:cs="Arial"/>
                <w:b/>
                <w:sz w:val="20"/>
                <w:szCs w:val="22"/>
              </w:rPr>
              <w:t>N</w:t>
            </w:r>
            <w:r w:rsidR="00D16C7D" w:rsidRPr="005C5B4B">
              <w:rPr>
                <w:rFonts w:ascii="Arial" w:hAnsi="Arial" w:cs="Arial"/>
                <w:b/>
                <w:sz w:val="20"/>
                <w:szCs w:val="22"/>
              </w:rPr>
              <w:t xml:space="preserve"> </w:t>
            </w:r>
            <w:r w:rsidRPr="005C5B4B">
              <w:rPr>
                <w:rFonts w:ascii="Arial" w:hAnsi="Arial" w:cs="Arial"/>
                <w:b/>
                <w:sz w:val="20"/>
                <w:szCs w:val="22"/>
              </w:rPr>
              <w:t>total</w:t>
            </w:r>
          </w:p>
          <w:p w:rsidR="002824E4" w:rsidRPr="005C5B4B" w:rsidRDefault="0081131F">
            <w:pPr>
              <w:jc w:val="center"/>
              <w:rPr>
                <w:rFonts w:ascii="Arial" w:hAnsi="Arial" w:cs="Arial"/>
                <w:b/>
                <w:sz w:val="20"/>
                <w:szCs w:val="22"/>
              </w:rPr>
            </w:pPr>
            <w:r w:rsidRPr="005C5B4B">
              <w:rPr>
                <w:rFonts w:ascii="Arial" w:hAnsi="Arial" w:cs="Arial"/>
                <w:b/>
                <w:sz w:val="20"/>
                <w:szCs w:val="22"/>
              </w:rPr>
              <w:t>(%)</w:t>
            </w:r>
          </w:p>
        </w:tc>
        <w:tc>
          <w:tcPr>
            <w:tcW w:w="1531" w:type="dxa"/>
            <w:tcBorders>
              <w:top w:val="double" w:sz="6" w:space="0" w:color="auto"/>
              <w:left w:val="nil"/>
              <w:bottom w:val="double" w:sz="6" w:space="0" w:color="auto"/>
              <w:right w:val="single" w:sz="4" w:space="0" w:color="auto"/>
            </w:tcBorders>
            <w:shd w:val="clear" w:color="auto" w:fill="auto"/>
            <w:noWrap/>
            <w:vAlign w:val="center"/>
          </w:tcPr>
          <w:p w:rsidR="002824E4" w:rsidRPr="005C5B4B" w:rsidRDefault="0081131F">
            <w:pPr>
              <w:jc w:val="center"/>
              <w:rPr>
                <w:rFonts w:ascii="Arial" w:hAnsi="Arial" w:cs="Arial"/>
                <w:b/>
                <w:sz w:val="20"/>
                <w:szCs w:val="22"/>
              </w:rPr>
            </w:pPr>
            <w:r w:rsidRPr="005C5B4B">
              <w:rPr>
                <w:rFonts w:ascii="Arial" w:hAnsi="Arial" w:cs="Arial"/>
                <w:b/>
                <w:sz w:val="20"/>
                <w:szCs w:val="22"/>
              </w:rPr>
              <w:t>N-NO</w:t>
            </w:r>
            <w:r w:rsidR="002824E4" w:rsidRPr="005C5B4B">
              <w:rPr>
                <w:rFonts w:ascii="Arial" w:hAnsi="Arial" w:cs="Arial"/>
                <w:b/>
                <w:sz w:val="20"/>
                <w:szCs w:val="22"/>
                <w:vertAlign w:val="subscript"/>
              </w:rPr>
              <w:t>3</w:t>
            </w:r>
            <w:r w:rsidR="002824E4" w:rsidRPr="005C5B4B">
              <w:rPr>
                <w:rFonts w:ascii="Arial" w:hAnsi="Arial" w:cs="Arial"/>
                <w:b/>
                <w:sz w:val="20"/>
                <w:szCs w:val="22"/>
                <w:vertAlign w:val="superscript"/>
              </w:rPr>
              <w:t>-</w:t>
            </w:r>
          </w:p>
          <w:p w:rsidR="002824E4" w:rsidRPr="005C5B4B" w:rsidRDefault="00B26720">
            <w:pPr>
              <w:jc w:val="center"/>
              <w:rPr>
                <w:rFonts w:ascii="Arial" w:hAnsi="Arial" w:cs="Arial"/>
                <w:b/>
                <w:sz w:val="20"/>
                <w:szCs w:val="22"/>
              </w:rPr>
            </w:pPr>
            <w:r w:rsidRPr="005C5B4B">
              <w:rPr>
                <w:rFonts w:ascii="Arial" w:hAnsi="Arial" w:cs="Arial"/>
                <w:b/>
                <w:sz w:val="20"/>
                <w:szCs w:val="22"/>
              </w:rPr>
              <w:t>0-40 cm</w:t>
            </w:r>
          </w:p>
          <w:p w:rsidR="002824E4" w:rsidRPr="005C5B4B" w:rsidRDefault="00636B62">
            <w:pPr>
              <w:jc w:val="center"/>
              <w:rPr>
                <w:rFonts w:ascii="Arial" w:hAnsi="Arial" w:cs="Arial"/>
                <w:b/>
                <w:sz w:val="20"/>
                <w:szCs w:val="22"/>
              </w:rPr>
            </w:pPr>
            <w:r w:rsidRPr="005C5B4B">
              <w:rPr>
                <w:rFonts w:ascii="Arial" w:hAnsi="Arial" w:cs="Arial"/>
                <w:b/>
                <w:sz w:val="20"/>
                <w:szCs w:val="22"/>
              </w:rPr>
              <w:t>(</w:t>
            </w:r>
            <w:r w:rsidR="0081131F" w:rsidRPr="005C5B4B">
              <w:rPr>
                <w:rFonts w:ascii="Arial" w:hAnsi="Arial" w:cs="Arial"/>
                <w:b/>
                <w:sz w:val="20"/>
                <w:szCs w:val="22"/>
              </w:rPr>
              <w:t xml:space="preserve"> kg</w:t>
            </w:r>
            <w:r w:rsidRPr="005C5B4B">
              <w:rPr>
                <w:rFonts w:ascii="Arial" w:hAnsi="Arial" w:cs="Arial"/>
                <w:b/>
                <w:sz w:val="20"/>
                <w:szCs w:val="22"/>
              </w:rPr>
              <w:t xml:space="preserve"> ha</w:t>
            </w:r>
            <w:r w:rsidR="0081131F" w:rsidRPr="005C5B4B">
              <w:rPr>
                <w:rFonts w:ascii="Arial" w:hAnsi="Arial" w:cs="Arial"/>
                <w:b/>
                <w:sz w:val="20"/>
                <w:szCs w:val="22"/>
                <w:vertAlign w:val="superscript"/>
              </w:rPr>
              <w:t>-1</w:t>
            </w:r>
            <w:r w:rsidR="0081131F" w:rsidRPr="005C5B4B">
              <w:rPr>
                <w:rFonts w:ascii="Arial" w:hAnsi="Arial" w:cs="Arial"/>
                <w:b/>
                <w:sz w:val="20"/>
                <w:szCs w:val="22"/>
              </w:rPr>
              <w:t>)</w:t>
            </w:r>
          </w:p>
        </w:tc>
        <w:tc>
          <w:tcPr>
            <w:tcW w:w="1520" w:type="dxa"/>
            <w:tcBorders>
              <w:top w:val="double" w:sz="6" w:space="0" w:color="auto"/>
              <w:left w:val="nil"/>
              <w:bottom w:val="double" w:sz="6" w:space="0" w:color="auto"/>
              <w:right w:val="single" w:sz="4" w:space="0" w:color="auto"/>
            </w:tcBorders>
            <w:shd w:val="clear" w:color="auto" w:fill="auto"/>
            <w:noWrap/>
            <w:vAlign w:val="center"/>
          </w:tcPr>
          <w:p w:rsidR="002824E4" w:rsidRPr="005C5B4B" w:rsidRDefault="0081131F">
            <w:pPr>
              <w:jc w:val="center"/>
              <w:rPr>
                <w:rFonts w:ascii="Arial" w:hAnsi="Arial" w:cs="Arial"/>
                <w:b/>
                <w:sz w:val="20"/>
                <w:szCs w:val="22"/>
              </w:rPr>
            </w:pPr>
            <w:r w:rsidRPr="005C5B4B">
              <w:rPr>
                <w:rFonts w:ascii="Arial" w:hAnsi="Arial" w:cs="Arial"/>
                <w:b/>
                <w:sz w:val="20"/>
                <w:szCs w:val="22"/>
              </w:rPr>
              <w:t>P</w:t>
            </w:r>
            <w:r w:rsidR="00D16C7D" w:rsidRPr="005C5B4B">
              <w:rPr>
                <w:rFonts w:ascii="Arial" w:hAnsi="Arial" w:cs="Arial"/>
                <w:b/>
                <w:sz w:val="20"/>
                <w:szCs w:val="22"/>
              </w:rPr>
              <w:t xml:space="preserve"> Bray-1</w:t>
            </w:r>
          </w:p>
          <w:p w:rsidR="002824E4" w:rsidRPr="005C5B4B" w:rsidRDefault="0081131F">
            <w:pPr>
              <w:jc w:val="center"/>
              <w:rPr>
                <w:rFonts w:ascii="Arial" w:hAnsi="Arial" w:cs="Arial"/>
                <w:b/>
                <w:sz w:val="20"/>
                <w:szCs w:val="22"/>
              </w:rPr>
            </w:pPr>
            <w:r w:rsidRPr="005C5B4B">
              <w:rPr>
                <w:rFonts w:ascii="Arial" w:hAnsi="Arial" w:cs="Arial"/>
                <w:b/>
                <w:sz w:val="20"/>
                <w:szCs w:val="22"/>
              </w:rPr>
              <w:t>(mg kg</w:t>
            </w:r>
            <w:r w:rsidRPr="005C5B4B">
              <w:rPr>
                <w:rFonts w:ascii="Arial" w:hAnsi="Arial" w:cs="Arial"/>
                <w:b/>
                <w:sz w:val="20"/>
                <w:szCs w:val="22"/>
                <w:vertAlign w:val="superscript"/>
              </w:rPr>
              <w:t>-1</w:t>
            </w:r>
            <w:r w:rsidRPr="005C5B4B">
              <w:rPr>
                <w:rFonts w:ascii="Arial" w:hAnsi="Arial" w:cs="Arial"/>
                <w:b/>
                <w:sz w:val="20"/>
                <w:szCs w:val="22"/>
              </w:rPr>
              <w:t>)</w:t>
            </w:r>
          </w:p>
        </w:tc>
        <w:tc>
          <w:tcPr>
            <w:tcW w:w="1540" w:type="dxa"/>
            <w:tcBorders>
              <w:top w:val="double" w:sz="6" w:space="0" w:color="auto"/>
              <w:left w:val="nil"/>
              <w:bottom w:val="double" w:sz="6" w:space="0" w:color="auto"/>
              <w:right w:val="double" w:sz="6" w:space="0" w:color="auto"/>
            </w:tcBorders>
            <w:shd w:val="clear" w:color="auto" w:fill="auto"/>
            <w:noWrap/>
            <w:vAlign w:val="center"/>
          </w:tcPr>
          <w:p w:rsidR="002824E4" w:rsidRPr="005C5B4B" w:rsidRDefault="0081131F">
            <w:pPr>
              <w:jc w:val="center"/>
              <w:rPr>
                <w:rFonts w:ascii="Arial" w:hAnsi="Arial" w:cs="Arial"/>
                <w:b/>
                <w:sz w:val="20"/>
                <w:szCs w:val="22"/>
              </w:rPr>
            </w:pPr>
            <w:r w:rsidRPr="005C5B4B">
              <w:rPr>
                <w:rFonts w:ascii="Arial" w:hAnsi="Arial" w:cs="Arial"/>
                <w:b/>
                <w:sz w:val="20"/>
                <w:szCs w:val="22"/>
              </w:rPr>
              <w:t>S-SO</w:t>
            </w:r>
            <w:r w:rsidR="002824E4" w:rsidRPr="005C5B4B">
              <w:rPr>
                <w:rFonts w:ascii="Arial" w:hAnsi="Arial" w:cs="Arial"/>
                <w:b/>
                <w:sz w:val="20"/>
                <w:szCs w:val="22"/>
                <w:vertAlign w:val="subscript"/>
              </w:rPr>
              <w:t>4</w:t>
            </w:r>
            <w:r w:rsidR="002824E4" w:rsidRPr="005C5B4B">
              <w:rPr>
                <w:rFonts w:ascii="Arial" w:hAnsi="Arial" w:cs="Arial"/>
                <w:b/>
                <w:sz w:val="20"/>
                <w:szCs w:val="22"/>
                <w:vertAlign w:val="superscript"/>
              </w:rPr>
              <w:t>-2</w:t>
            </w:r>
          </w:p>
          <w:p w:rsidR="002824E4" w:rsidRPr="005C5B4B" w:rsidRDefault="0081131F">
            <w:pPr>
              <w:jc w:val="center"/>
              <w:rPr>
                <w:rFonts w:ascii="Arial" w:hAnsi="Arial" w:cs="Arial"/>
                <w:b/>
                <w:sz w:val="20"/>
                <w:szCs w:val="22"/>
              </w:rPr>
            </w:pPr>
            <w:r w:rsidRPr="005C5B4B">
              <w:rPr>
                <w:rFonts w:ascii="Arial" w:hAnsi="Arial" w:cs="Arial"/>
                <w:b/>
                <w:sz w:val="20"/>
                <w:szCs w:val="22"/>
              </w:rPr>
              <w:t>(mg kg</w:t>
            </w:r>
            <w:r w:rsidRPr="005C5B4B">
              <w:rPr>
                <w:rFonts w:ascii="Arial" w:hAnsi="Arial" w:cs="Arial"/>
                <w:b/>
                <w:sz w:val="20"/>
                <w:szCs w:val="22"/>
                <w:vertAlign w:val="superscript"/>
              </w:rPr>
              <w:t>-1</w:t>
            </w:r>
            <w:r w:rsidRPr="005C5B4B">
              <w:rPr>
                <w:rFonts w:ascii="Arial" w:hAnsi="Arial" w:cs="Arial"/>
                <w:b/>
                <w:sz w:val="20"/>
                <w:szCs w:val="22"/>
              </w:rPr>
              <w:t>)</w:t>
            </w:r>
          </w:p>
        </w:tc>
      </w:tr>
      <w:tr w:rsidR="00521493" w:rsidRPr="0022296B" w:rsidTr="00EA6E3E">
        <w:trPr>
          <w:trHeight w:val="255"/>
          <w:jc w:val="center"/>
        </w:trPr>
        <w:tc>
          <w:tcPr>
            <w:tcW w:w="1387" w:type="dxa"/>
            <w:tcBorders>
              <w:top w:val="double" w:sz="6" w:space="0" w:color="auto"/>
              <w:left w:val="double" w:sz="6" w:space="0" w:color="auto"/>
              <w:bottom w:val="single" w:sz="4" w:space="0" w:color="auto"/>
              <w:right w:val="single" w:sz="4" w:space="0" w:color="auto"/>
            </w:tcBorders>
            <w:shd w:val="clear" w:color="auto" w:fill="auto"/>
            <w:noWrap/>
            <w:vAlign w:val="center"/>
          </w:tcPr>
          <w:p w:rsidR="00521493" w:rsidRPr="005C5B4B" w:rsidRDefault="00521493" w:rsidP="00D16C7D">
            <w:pPr>
              <w:jc w:val="center"/>
              <w:rPr>
                <w:rFonts w:ascii="Arial" w:hAnsi="Arial" w:cs="Arial"/>
                <w:b/>
                <w:sz w:val="20"/>
                <w:szCs w:val="22"/>
              </w:rPr>
            </w:pPr>
            <w:r w:rsidRPr="005C5B4B">
              <w:rPr>
                <w:rFonts w:ascii="Arial" w:hAnsi="Arial" w:cs="Arial"/>
                <w:b/>
                <w:sz w:val="20"/>
                <w:szCs w:val="22"/>
              </w:rPr>
              <w:t>Inicial</w:t>
            </w:r>
          </w:p>
        </w:tc>
        <w:tc>
          <w:tcPr>
            <w:tcW w:w="1068" w:type="dxa"/>
            <w:tcBorders>
              <w:top w:val="double" w:sz="6" w:space="0" w:color="auto"/>
              <w:left w:val="nil"/>
              <w:bottom w:val="single" w:sz="4" w:space="0" w:color="auto"/>
              <w:right w:val="single" w:sz="4" w:space="0" w:color="auto"/>
            </w:tcBorders>
            <w:shd w:val="clear" w:color="auto" w:fill="auto"/>
            <w:noWrap/>
            <w:vAlign w:val="center"/>
          </w:tcPr>
          <w:p w:rsidR="002824E4" w:rsidRPr="005C5B4B" w:rsidRDefault="00521493">
            <w:pPr>
              <w:jc w:val="center"/>
              <w:rPr>
                <w:rFonts w:ascii="Arial" w:hAnsi="Arial" w:cs="Arial"/>
                <w:sz w:val="20"/>
                <w:szCs w:val="22"/>
              </w:rPr>
            </w:pPr>
            <w:r w:rsidRPr="005C5B4B">
              <w:rPr>
                <w:rFonts w:ascii="Arial" w:hAnsi="Arial" w:cs="Arial"/>
                <w:sz w:val="20"/>
                <w:szCs w:val="22"/>
              </w:rPr>
              <w:t>2</w:t>
            </w:r>
            <w:r w:rsidR="001A43D6" w:rsidRPr="005C5B4B">
              <w:rPr>
                <w:rFonts w:ascii="Arial" w:hAnsi="Arial" w:cs="Arial"/>
                <w:sz w:val="20"/>
                <w:szCs w:val="22"/>
              </w:rPr>
              <w:t>,</w:t>
            </w:r>
            <w:r w:rsidRPr="005C5B4B">
              <w:rPr>
                <w:rFonts w:ascii="Arial" w:hAnsi="Arial" w:cs="Arial"/>
                <w:sz w:val="20"/>
                <w:szCs w:val="22"/>
              </w:rPr>
              <w:t>38</w:t>
            </w:r>
          </w:p>
        </w:tc>
        <w:tc>
          <w:tcPr>
            <w:tcW w:w="1092" w:type="dxa"/>
            <w:tcBorders>
              <w:top w:val="double" w:sz="6" w:space="0" w:color="auto"/>
              <w:left w:val="nil"/>
              <w:bottom w:val="single" w:sz="4" w:space="0" w:color="auto"/>
              <w:right w:val="single" w:sz="4" w:space="0" w:color="auto"/>
            </w:tcBorders>
            <w:shd w:val="clear" w:color="auto" w:fill="auto"/>
            <w:noWrap/>
            <w:vAlign w:val="center"/>
          </w:tcPr>
          <w:p w:rsidR="002824E4" w:rsidRPr="005C5B4B" w:rsidRDefault="00521493" w:rsidP="001A43D6">
            <w:pPr>
              <w:jc w:val="center"/>
              <w:rPr>
                <w:rFonts w:ascii="Arial" w:hAnsi="Arial" w:cs="Arial"/>
                <w:sz w:val="20"/>
                <w:szCs w:val="22"/>
              </w:rPr>
            </w:pPr>
            <w:r w:rsidRPr="005C5B4B">
              <w:rPr>
                <w:rFonts w:ascii="Arial" w:hAnsi="Arial" w:cs="Arial"/>
                <w:sz w:val="20"/>
                <w:szCs w:val="22"/>
              </w:rPr>
              <w:t>5</w:t>
            </w:r>
            <w:r w:rsidR="001A43D6" w:rsidRPr="005C5B4B">
              <w:rPr>
                <w:rFonts w:ascii="Arial" w:hAnsi="Arial" w:cs="Arial"/>
                <w:sz w:val="20"/>
                <w:szCs w:val="22"/>
              </w:rPr>
              <w:t>,</w:t>
            </w:r>
            <w:r w:rsidRPr="005C5B4B">
              <w:rPr>
                <w:rFonts w:ascii="Arial" w:hAnsi="Arial" w:cs="Arial"/>
                <w:sz w:val="20"/>
                <w:szCs w:val="22"/>
              </w:rPr>
              <w:t>6</w:t>
            </w:r>
          </w:p>
        </w:tc>
        <w:tc>
          <w:tcPr>
            <w:tcW w:w="1260" w:type="dxa"/>
            <w:tcBorders>
              <w:top w:val="double" w:sz="6" w:space="0" w:color="auto"/>
              <w:left w:val="nil"/>
              <w:bottom w:val="single" w:sz="4" w:space="0" w:color="auto"/>
              <w:right w:val="single" w:sz="4" w:space="0" w:color="auto"/>
            </w:tcBorders>
            <w:shd w:val="clear" w:color="auto" w:fill="auto"/>
            <w:noWrap/>
            <w:vAlign w:val="center"/>
          </w:tcPr>
          <w:p w:rsidR="002824E4" w:rsidRPr="005C5B4B" w:rsidRDefault="00521493">
            <w:pPr>
              <w:jc w:val="center"/>
              <w:rPr>
                <w:rFonts w:ascii="Arial" w:hAnsi="Arial" w:cs="Arial"/>
                <w:sz w:val="20"/>
                <w:szCs w:val="22"/>
              </w:rPr>
            </w:pPr>
            <w:r w:rsidRPr="005C5B4B">
              <w:rPr>
                <w:rFonts w:ascii="Arial" w:hAnsi="Arial" w:cs="Arial"/>
                <w:sz w:val="20"/>
                <w:szCs w:val="22"/>
              </w:rPr>
              <w:t>0</w:t>
            </w:r>
            <w:r w:rsidR="001A43D6" w:rsidRPr="005C5B4B">
              <w:rPr>
                <w:rFonts w:ascii="Arial" w:hAnsi="Arial" w:cs="Arial"/>
                <w:sz w:val="20"/>
                <w:szCs w:val="22"/>
              </w:rPr>
              <w:t>,</w:t>
            </w:r>
            <w:r w:rsidRPr="005C5B4B">
              <w:rPr>
                <w:rFonts w:ascii="Arial" w:hAnsi="Arial" w:cs="Arial"/>
                <w:sz w:val="20"/>
                <w:szCs w:val="22"/>
              </w:rPr>
              <w:t>119</w:t>
            </w:r>
          </w:p>
        </w:tc>
        <w:tc>
          <w:tcPr>
            <w:tcW w:w="1531" w:type="dxa"/>
            <w:tcBorders>
              <w:top w:val="double" w:sz="6" w:space="0" w:color="auto"/>
              <w:left w:val="nil"/>
              <w:bottom w:val="single" w:sz="4" w:space="0" w:color="auto"/>
              <w:right w:val="single" w:sz="4" w:space="0" w:color="auto"/>
            </w:tcBorders>
            <w:shd w:val="clear" w:color="auto" w:fill="auto"/>
            <w:noWrap/>
            <w:vAlign w:val="center"/>
          </w:tcPr>
          <w:p w:rsidR="002824E4" w:rsidRPr="005C5B4B" w:rsidRDefault="00521493">
            <w:pPr>
              <w:jc w:val="center"/>
              <w:rPr>
                <w:rFonts w:ascii="Arial" w:hAnsi="Arial" w:cs="Arial"/>
                <w:sz w:val="20"/>
                <w:szCs w:val="22"/>
              </w:rPr>
            </w:pPr>
            <w:r w:rsidRPr="005C5B4B">
              <w:rPr>
                <w:rFonts w:ascii="Arial" w:hAnsi="Arial" w:cs="Arial"/>
                <w:sz w:val="20"/>
                <w:szCs w:val="22"/>
              </w:rPr>
              <w:t>17</w:t>
            </w:r>
            <w:r w:rsidR="001A43D6" w:rsidRPr="005C5B4B">
              <w:rPr>
                <w:rFonts w:ascii="Arial" w:hAnsi="Arial" w:cs="Arial"/>
                <w:sz w:val="20"/>
                <w:szCs w:val="22"/>
              </w:rPr>
              <w:t>,</w:t>
            </w:r>
            <w:r w:rsidRPr="005C5B4B">
              <w:rPr>
                <w:rFonts w:ascii="Arial" w:hAnsi="Arial" w:cs="Arial"/>
                <w:sz w:val="20"/>
                <w:szCs w:val="22"/>
              </w:rPr>
              <w:t>8</w:t>
            </w:r>
          </w:p>
        </w:tc>
        <w:tc>
          <w:tcPr>
            <w:tcW w:w="1520" w:type="dxa"/>
            <w:tcBorders>
              <w:top w:val="double" w:sz="6" w:space="0" w:color="auto"/>
              <w:left w:val="nil"/>
              <w:bottom w:val="single" w:sz="4" w:space="0" w:color="auto"/>
              <w:right w:val="single" w:sz="4" w:space="0" w:color="auto"/>
            </w:tcBorders>
            <w:shd w:val="clear" w:color="auto" w:fill="auto"/>
            <w:noWrap/>
            <w:vAlign w:val="center"/>
          </w:tcPr>
          <w:p w:rsidR="002824E4" w:rsidRPr="005C5B4B" w:rsidRDefault="00521493">
            <w:pPr>
              <w:jc w:val="center"/>
              <w:rPr>
                <w:rFonts w:ascii="Arial" w:hAnsi="Arial" w:cs="Arial"/>
                <w:sz w:val="20"/>
                <w:szCs w:val="22"/>
              </w:rPr>
            </w:pPr>
            <w:r w:rsidRPr="005C5B4B">
              <w:rPr>
                <w:rFonts w:ascii="Arial" w:hAnsi="Arial" w:cs="Arial"/>
                <w:sz w:val="20"/>
                <w:szCs w:val="22"/>
              </w:rPr>
              <w:t>8</w:t>
            </w:r>
            <w:r w:rsidR="001A43D6" w:rsidRPr="005C5B4B">
              <w:rPr>
                <w:rFonts w:ascii="Arial" w:hAnsi="Arial" w:cs="Arial"/>
                <w:sz w:val="20"/>
                <w:szCs w:val="22"/>
              </w:rPr>
              <w:t>,</w:t>
            </w:r>
            <w:r w:rsidRPr="005C5B4B">
              <w:rPr>
                <w:rFonts w:ascii="Arial" w:hAnsi="Arial" w:cs="Arial"/>
                <w:sz w:val="20"/>
                <w:szCs w:val="22"/>
              </w:rPr>
              <w:t>5</w:t>
            </w:r>
          </w:p>
        </w:tc>
        <w:tc>
          <w:tcPr>
            <w:tcW w:w="1540" w:type="dxa"/>
            <w:tcBorders>
              <w:top w:val="double" w:sz="6" w:space="0" w:color="auto"/>
              <w:left w:val="nil"/>
              <w:bottom w:val="single" w:sz="4" w:space="0" w:color="auto"/>
              <w:right w:val="double" w:sz="6" w:space="0" w:color="auto"/>
            </w:tcBorders>
            <w:shd w:val="clear" w:color="auto" w:fill="auto"/>
            <w:noWrap/>
            <w:vAlign w:val="center"/>
          </w:tcPr>
          <w:p w:rsidR="002824E4" w:rsidRPr="005C5B4B" w:rsidRDefault="00521493">
            <w:pPr>
              <w:jc w:val="center"/>
              <w:rPr>
                <w:rFonts w:ascii="Arial" w:hAnsi="Arial" w:cs="Arial"/>
                <w:sz w:val="20"/>
                <w:szCs w:val="22"/>
              </w:rPr>
            </w:pPr>
            <w:r w:rsidRPr="005C5B4B">
              <w:rPr>
                <w:rFonts w:ascii="Arial" w:hAnsi="Arial" w:cs="Arial"/>
                <w:sz w:val="20"/>
                <w:szCs w:val="22"/>
              </w:rPr>
              <w:t>13</w:t>
            </w:r>
            <w:r w:rsidR="001A43D6" w:rsidRPr="005C5B4B">
              <w:rPr>
                <w:rFonts w:ascii="Arial" w:hAnsi="Arial" w:cs="Arial"/>
                <w:sz w:val="20"/>
                <w:szCs w:val="22"/>
              </w:rPr>
              <w:t>,</w:t>
            </w:r>
            <w:r w:rsidRPr="005C5B4B">
              <w:rPr>
                <w:rFonts w:ascii="Arial" w:hAnsi="Arial" w:cs="Arial"/>
                <w:sz w:val="20"/>
                <w:szCs w:val="22"/>
              </w:rPr>
              <w:t>8</w:t>
            </w:r>
          </w:p>
        </w:tc>
      </w:tr>
      <w:tr w:rsidR="00836E34" w:rsidRPr="0022296B" w:rsidTr="000962B0">
        <w:trPr>
          <w:trHeight w:val="255"/>
          <w:jc w:val="center"/>
        </w:trPr>
        <w:tc>
          <w:tcPr>
            <w:tcW w:w="1387" w:type="dxa"/>
            <w:tcBorders>
              <w:top w:val="double" w:sz="6" w:space="0" w:color="auto"/>
              <w:left w:val="double" w:sz="6" w:space="0" w:color="auto"/>
              <w:bottom w:val="single" w:sz="4" w:space="0" w:color="auto"/>
              <w:right w:val="single" w:sz="4" w:space="0" w:color="auto"/>
            </w:tcBorders>
            <w:shd w:val="clear" w:color="auto" w:fill="auto"/>
            <w:noWrap/>
            <w:vAlign w:val="center"/>
          </w:tcPr>
          <w:p w:rsidR="00836E34" w:rsidRPr="005C5B4B" w:rsidRDefault="00836E34" w:rsidP="00836E34">
            <w:pPr>
              <w:jc w:val="center"/>
              <w:rPr>
                <w:rFonts w:ascii="Arial" w:hAnsi="Arial" w:cs="Arial"/>
                <w:b/>
                <w:sz w:val="20"/>
                <w:szCs w:val="22"/>
              </w:rPr>
            </w:pPr>
            <w:r w:rsidRPr="005C5B4B">
              <w:rPr>
                <w:rFonts w:ascii="Arial" w:hAnsi="Arial" w:cs="Arial"/>
                <w:b/>
                <w:sz w:val="20"/>
                <w:szCs w:val="22"/>
              </w:rPr>
              <w:t>T1</w:t>
            </w:r>
          </w:p>
        </w:tc>
        <w:tc>
          <w:tcPr>
            <w:tcW w:w="1068" w:type="dxa"/>
            <w:tcBorders>
              <w:top w:val="double" w:sz="6" w:space="0" w:color="auto"/>
              <w:left w:val="nil"/>
              <w:bottom w:val="single" w:sz="4" w:space="0" w:color="auto"/>
              <w:right w:val="single" w:sz="4" w:space="0" w:color="auto"/>
            </w:tcBorders>
            <w:shd w:val="clear" w:color="auto" w:fill="auto"/>
            <w:noWrap/>
            <w:vAlign w:val="bottom"/>
          </w:tcPr>
          <w:p w:rsidR="00836E34" w:rsidRDefault="00836E34" w:rsidP="00836E34">
            <w:pPr>
              <w:jc w:val="center"/>
              <w:rPr>
                <w:rFonts w:ascii="Arial" w:hAnsi="Arial" w:cs="Arial"/>
                <w:sz w:val="20"/>
                <w:szCs w:val="20"/>
              </w:rPr>
            </w:pPr>
            <w:r>
              <w:rPr>
                <w:rFonts w:ascii="Arial" w:hAnsi="Arial" w:cs="Arial"/>
                <w:sz w:val="20"/>
                <w:szCs w:val="20"/>
              </w:rPr>
              <w:t>2,46</w:t>
            </w:r>
          </w:p>
        </w:tc>
        <w:tc>
          <w:tcPr>
            <w:tcW w:w="1092" w:type="dxa"/>
            <w:tcBorders>
              <w:top w:val="double" w:sz="6" w:space="0" w:color="auto"/>
              <w:left w:val="nil"/>
              <w:bottom w:val="single" w:sz="4" w:space="0" w:color="auto"/>
              <w:right w:val="single" w:sz="4" w:space="0" w:color="auto"/>
            </w:tcBorders>
            <w:shd w:val="clear" w:color="auto" w:fill="auto"/>
            <w:noWrap/>
            <w:vAlign w:val="bottom"/>
          </w:tcPr>
          <w:p w:rsidR="00836E34" w:rsidRDefault="00836E34" w:rsidP="00836E34">
            <w:pPr>
              <w:jc w:val="center"/>
              <w:rPr>
                <w:rFonts w:ascii="Arial" w:hAnsi="Arial" w:cs="Arial"/>
                <w:sz w:val="20"/>
                <w:szCs w:val="20"/>
              </w:rPr>
            </w:pPr>
            <w:r>
              <w:rPr>
                <w:rFonts w:ascii="Arial" w:hAnsi="Arial" w:cs="Arial"/>
                <w:sz w:val="20"/>
                <w:szCs w:val="20"/>
              </w:rPr>
              <w:t>5,8</w:t>
            </w:r>
          </w:p>
        </w:tc>
        <w:tc>
          <w:tcPr>
            <w:tcW w:w="1260" w:type="dxa"/>
            <w:tcBorders>
              <w:top w:val="double" w:sz="6" w:space="0" w:color="auto"/>
              <w:left w:val="nil"/>
              <w:bottom w:val="single" w:sz="4" w:space="0" w:color="auto"/>
              <w:right w:val="single" w:sz="4" w:space="0" w:color="auto"/>
            </w:tcBorders>
            <w:shd w:val="clear" w:color="auto" w:fill="auto"/>
            <w:noWrap/>
            <w:vAlign w:val="bottom"/>
          </w:tcPr>
          <w:p w:rsidR="00836E34" w:rsidRDefault="00836E34" w:rsidP="00836E34">
            <w:pPr>
              <w:jc w:val="center"/>
              <w:rPr>
                <w:rFonts w:ascii="Arial" w:hAnsi="Arial" w:cs="Arial"/>
                <w:sz w:val="20"/>
                <w:szCs w:val="20"/>
              </w:rPr>
            </w:pPr>
            <w:r>
              <w:rPr>
                <w:rFonts w:ascii="Arial" w:hAnsi="Arial" w:cs="Arial"/>
                <w:sz w:val="20"/>
                <w:szCs w:val="20"/>
              </w:rPr>
              <w:t>0,123</w:t>
            </w:r>
          </w:p>
        </w:tc>
        <w:tc>
          <w:tcPr>
            <w:tcW w:w="1531" w:type="dxa"/>
            <w:tcBorders>
              <w:top w:val="double" w:sz="6" w:space="0" w:color="auto"/>
              <w:left w:val="nil"/>
              <w:bottom w:val="single" w:sz="4" w:space="0" w:color="auto"/>
              <w:right w:val="single" w:sz="4" w:space="0" w:color="auto"/>
            </w:tcBorders>
            <w:shd w:val="clear" w:color="auto" w:fill="auto"/>
            <w:noWrap/>
            <w:vAlign w:val="bottom"/>
          </w:tcPr>
          <w:p w:rsidR="00836E34" w:rsidRDefault="00836E34" w:rsidP="00836E34">
            <w:pPr>
              <w:jc w:val="center"/>
              <w:rPr>
                <w:rFonts w:ascii="Arial" w:hAnsi="Arial" w:cs="Arial"/>
                <w:sz w:val="20"/>
                <w:szCs w:val="20"/>
              </w:rPr>
            </w:pPr>
            <w:r>
              <w:rPr>
                <w:rFonts w:ascii="Arial" w:hAnsi="Arial" w:cs="Arial"/>
                <w:sz w:val="20"/>
                <w:szCs w:val="20"/>
              </w:rPr>
              <w:t>8,8</w:t>
            </w:r>
          </w:p>
        </w:tc>
        <w:tc>
          <w:tcPr>
            <w:tcW w:w="1520" w:type="dxa"/>
            <w:tcBorders>
              <w:top w:val="double" w:sz="6" w:space="0" w:color="auto"/>
              <w:left w:val="nil"/>
              <w:bottom w:val="single" w:sz="4" w:space="0" w:color="auto"/>
              <w:right w:val="single" w:sz="4" w:space="0" w:color="auto"/>
            </w:tcBorders>
            <w:shd w:val="clear" w:color="auto" w:fill="auto"/>
            <w:noWrap/>
            <w:vAlign w:val="bottom"/>
          </w:tcPr>
          <w:p w:rsidR="00836E34" w:rsidRDefault="00836E34" w:rsidP="00836E34">
            <w:pPr>
              <w:jc w:val="center"/>
              <w:rPr>
                <w:rFonts w:ascii="Arial" w:hAnsi="Arial" w:cs="Arial"/>
                <w:sz w:val="20"/>
                <w:szCs w:val="20"/>
              </w:rPr>
            </w:pPr>
            <w:r>
              <w:rPr>
                <w:rFonts w:ascii="Arial" w:hAnsi="Arial" w:cs="Arial"/>
                <w:sz w:val="20"/>
                <w:szCs w:val="20"/>
              </w:rPr>
              <w:t>4,0</w:t>
            </w:r>
          </w:p>
        </w:tc>
        <w:tc>
          <w:tcPr>
            <w:tcW w:w="1540" w:type="dxa"/>
            <w:tcBorders>
              <w:top w:val="double" w:sz="6" w:space="0" w:color="auto"/>
              <w:left w:val="nil"/>
              <w:bottom w:val="single" w:sz="4" w:space="0" w:color="auto"/>
              <w:right w:val="double" w:sz="6" w:space="0" w:color="auto"/>
            </w:tcBorders>
            <w:shd w:val="clear" w:color="auto" w:fill="auto"/>
            <w:noWrap/>
            <w:vAlign w:val="bottom"/>
          </w:tcPr>
          <w:p w:rsidR="00836E34" w:rsidRDefault="00836E34" w:rsidP="00836E34">
            <w:pPr>
              <w:jc w:val="center"/>
              <w:rPr>
                <w:rFonts w:ascii="Arial" w:hAnsi="Arial" w:cs="Arial"/>
                <w:sz w:val="20"/>
                <w:szCs w:val="20"/>
              </w:rPr>
            </w:pPr>
            <w:r>
              <w:rPr>
                <w:rFonts w:ascii="Arial" w:hAnsi="Arial" w:cs="Arial"/>
                <w:sz w:val="20"/>
                <w:szCs w:val="20"/>
              </w:rPr>
              <w:t>6,6</w:t>
            </w:r>
          </w:p>
        </w:tc>
      </w:tr>
      <w:tr w:rsidR="00836E34" w:rsidRPr="0022296B" w:rsidTr="000962B0">
        <w:trPr>
          <w:trHeight w:val="255"/>
          <w:jc w:val="center"/>
        </w:trPr>
        <w:tc>
          <w:tcPr>
            <w:tcW w:w="1387" w:type="dxa"/>
            <w:tcBorders>
              <w:top w:val="nil"/>
              <w:left w:val="double" w:sz="6" w:space="0" w:color="auto"/>
              <w:bottom w:val="single" w:sz="4" w:space="0" w:color="auto"/>
              <w:right w:val="single" w:sz="4" w:space="0" w:color="auto"/>
            </w:tcBorders>
            <w:shd w:val="clear" w:color="auto" w:fill="auto"/>
            <w:noWrap/>
            <w:vAlign w:val="center"/>
          </w:tcPr>
          <w:p w:rsidR="00836E34" w:rsidRPr="005C5B4B" w:rsidRDefault="00836E34" w:rsidP="00836E34">
            <w:pPr>
              <w:jc w:val="center"/>
              <w:rPr>
                <w:rFonts w:ascii="Arial" w:hAnsi="Arial" w:cs="Arial"/>
                <w:b/>
                <w:sz w:val="20"/>
                <w:szCs w:val="22"/>
              </w:rPr>
            </w:pPr>
            <w:r w:rsidRPr="005C5B4B">
              <w:rPr>
                <w:rFonts w:ascii="Arial" w:hAnsi="Arial" w:cs="Arial"/>
                <w:b/>
                <w:sz w:val="20"/>
                <w:szCs w:val="22"/>
              </w:rPr>
              <w:t>T2</w:t>
            </w:r>
          </w:p>
        </w:tc>
        <w:tc>
          <w:tcPr>
            <w:tcW w:w="1068" w:type="dxa"/>
            <w:tcBorders>
              <w:top w:val="nil"/>
              <w:left w:val="nil"/>
              <w:bottom w:val="single" w:sz="4" w:space="0" w:color="auto"/>
              <w:right w:val="single" w:sz="4" w:space="0" w:color="auto"/>
            </w:tcBorders>
            <w:shd w:val="clear" w:color="auto" w:fill="auto"/>
            <w:noWrap/>
            <w:vAlign w:val="bottom"/>
          </w:tcPr>
          <w:p w:rsidR="00836E34" w:rsidRDefault="00836E34" w:rsidP="00836E34">
            <w:pPr>
              <w:jc w:val="center"/>
              <w:rPr>
                <w:rFonts w:ascii="Arial" w:hAnsi="Arial" w:cs="Arial"/>
                <w:sz w:val="20"/>
                <w:szCs w:val="20"/>
              </w:rPr>
            </w:pPr>
            <w:r>
              <w:rPr>
                <w:rFonts w:ascii="Arial" w:hAnsi="Arial" w:cs="Arial"/>
                <w:sz w:val="20"/>
                <w:szCs w:val="20"/>
              </w:rPr>
              <w:t>2,42</w:t>
            </w:r>
          </w:p>
        </w:tc>
        <w:tc>
          <w:tcPr>
            <w:tcW w:w="1092" w:type="dxa"/>
            <w:tcBorders>
              <w:top w:val="nil"/>
              <w:left w:val="nil"/>
              <w:bottom w:val="single" w:sz="4" w:space="0" w:color="auto"/>
              <w:right w:val="single" w:sz="4" w:space="0" w:color="auto"/>
            </w:tcBorders>
            <w:shd w:val="clear" w:color="auto" w:fill="auto"/>
            <w:noWrap/>
            <w:vAlign w:val="bottom"/>
          </w:tcPr>
          <w:p w:rsidR="00836E34" w:rsidRDefault="00836E34" w:rsidP="00836E34">
            <w:pPr>
              <w:jc w:val="center"/>
              <w:rPr>
                <w:rFonts w:ascii="Arial" w:hAnsi="Arial" w:cs="Arial"/>
                <w:sz w:val="20"/>
                <w:szCs w:val="20"/>
              </w:rPr>
            </w:pPr>
            <w:r>
              <w:rPr>
                <w:rFonts w:ascii="Arial" w:hAnsi="Arial" w:cs="Arial"/>
                <w:sz w:val="20"/>
                <w:szCs w:val="20"/>
              </w:rPr>
              <w:t>5,7</w:t>
            </w:r>
          </w:p>
        </w:tc>
        <w:tc>
          <w:tcPr>
            <w:tcW w:w="1260" w:type="dxa"/>
            <w:tcBorders>
              <w:top w:val="nil"/>
              <w:left w:val="nil"/>
              <w:bottom w:val="single" w:sz="4" w:space="0" w:color="auto"/>
              <w:right w:val="single" w:sz="4" w:space="0" w:color="auto"/>
            </w:tcBorders>
            <w:shd w:val="clear" w:color="auto" w:fill="auto"/>
            <w:noWrap/>
            <w:vAlign w:val="bottom"/>
          </w:tcPr>
          <w:p w:rsidR="00836E34" w:rsidRDefault="00836E34" w:rsidP="00836E34">
            <w:pPr>
              <w:jc w:val="center"/>
              <w:rPr>
                <w:rFonts w:ascii="Arial" w:hAnsi="Arial" w:cs="Arial"/>
                <w:sz w:val="20"/>
                <w:szCs w:val="20"/>
              </w:rPr>
            </w:pPr>
            <w:r>
              <w:rPr>
                <w:rFonts w:ascii="Arial" w:hAnsi="Arial" w:cs="Arial"/>
                <w:sz w:val="20"/>
                <w:szCs w:val="20"/>
              </w:rPr>
              <w:t>0,121</w:t>
            </w:r>
          </w:p>
        </w:tc>
        <w:tc>
          <w:tcPr>
            <w:tcW w:w="1531" w:type="dxa"/>
            <w:tcBorders>
              <w:top w:val="nil"/>
              <w:left w:val="nil"/>
              <w:bottom w:val="single" w:sz="4" w:space="0" w:color="auto"/>
              <w:right w:val="single" w:sz="4" w:space="0" w:color="auto"/>
            </w:tcBorders>
            <w:shd w:val="clear" w:color="auto" w:fill="auto"/>
            <w:noWrap/>
            <w:vAlign w:val="bottom"/>
          </w:tcPr>
          <w:p w:rsidR="00836E34" w:rsidRDefault="00836E34" w:rsidP="00836E34">
            <w:pPr>
              <w:jc w:val="center"/>
              <w:rPr>
                <w:rFonts w:ascii="Arial" w:hAnsi="Arial" w:cs="Arial"/>
                <w:sz w:val="20"/>
                <w:szCs w:val="20"/>
              </w:rPr>
            </w:pPr>
            <w:r>
              <w:rPr>
                <w:rFonts w:ascii="Arial" w:hAnsi="Arial" w:cs="Arial"/>
                <w:sz w:val="20"/>
                <w:szCs w:val="20"/>
              </w:rPr>
              <w:t>7,5</w:t>
            </w:r>
          </w:p>
        </w:tc>
        <w:tc>
          <w:tcPr>
            <w:tcW w:w="1520" w:type="dxa"/>
            <w:tcBorders>
              <w:top w:val="nil"/>
              <w:left w:val="nil"/>
              <w:bottom w:val="single" w:sz="4" w:space="0" w:color="auto"/>
              <w:right w:val="single" w:sz="4" w:space="0" w:color="auto"/>
            </w:tcBorders>
            <w:shd w:val="clear" w:color="auto" w:fill="auto"/>
            <w:noWrap/>
            <w:vAlign w:val="bottom"/>
          </w:tcPr>
          <w:p w:rsidR="00836E34" w:rsidRDefault="00836E34" w:rsidP="00836E34">
            <w:pPr>
              <w:jc w:val="center"/>
              <w:rPr>
                <w:rFonts w:ascii="Arial" w:hAnsi="Arial" w:cs="Arial"/>
                <w:sz w:val="20"/>
                <w:szCs w:val="20"/>
              </w:rPr>
            </w:pPr>
            <w:r>
              <w:rPr>
                <w:rFonts w:ascii="Arial" w:hAnsi="Arial" w:cs="Arial"/>
                <w:sz w:val="20"/>
                <w:szCs w:val="20"/>
              </w:rPr>
              <w:t>5,6</w:t>
            </w:r>
          </w:p>
        </w:tc>
        <w:tc>
          <w:tcPr>
            <w:tcW w:w="1540" w:type="dxa"/>
            <w:tcBorders>
              <w:top w:val="nil"/>
              <w:left w:val="nil"/>
              <w:bottom w:val="single" w:sz="4" w:space="0" w:color="auto"/>
              <w:right w:val="double" w:sz="6" w:space="0" w:color="auto"/>
            </w:tcBorders>
            <w:shd w:val="clear" w:color="auto" w:fill="auto"/>
            <w:noWrap/>
            <w:vAlign w:val="bottom"/>
          </w:tcPr>
          <w:p w:rsidR="00836E34" w:rsidRDefault="00836E34" w:rsidP="00836E34">
            <w:pPr>
              <w:jc w:val="center"/>
              <w:rPr>
                <w:rFonts w:ascii="Arial" w:hAnsi="Arial" w:cs="Arial"/>
                <w:sz w:val="20"/>
                <w:szCs w:val="20"/>
              </w:rPr>
            </w:pPr>
            <w:r>
              <w:rPr>
                <w:rFonts w:ascii="Arial" w:hAnsi="Arial" w:cs="Arial"/>
                <w:sz w:val="20"/>
                <w:szCs w:val="20"/>
              </w:rPr>
              <w:t>6,7</w:t>
            </w:r>
          </w:p>
        </w:tc>
      </w:tr>
      <w:tr w:rsidR="00836E34" w:rsidRPr="0022296B" w:rsidTr="000962B0">
        <w:trPr>
          <w:trHeight w:val="255"/>
          <w:jc w:val="center"/>
        </w:trPr>
        <w:tc>
          <w:tcPr>
            <w:tcW w:w="1387" w:type="dxa"/>
            <w:tcBorders>
              <w:top w:val="nil"/>
              <w:left w:val="double" w:sz="6" w:space="0" w:color="auto"/>
              <w:bottom w:val="single" w:sz="4" w:space="0" w:color="auto"/>
              <w:right w:val="single" w:sz="4" w:space="0" w:color="auto"/>
            </w:tcBorders>
            <w:shd w:val="clear" w:color="auto" w:fill="auto"/>
            <w:noWrap/>
            <w:vAlign w:val="center"/>
          </w:tcPr>
          <w:p w:rsidR="00836E34" w:rsidRPr="005C5B4B" w:rsidRDefault="00836E34" w:rsidP="00836E34">
            <w:pPr>
              <w:jc w:val="center"/>
              <w:rPr>
                <w:rFonts w:ascii="Arial" w:hAnsi="Arial" w:cs="Arial"/>
                <w:b/>
                <w:sz w:val="20"/>
                <w:szCs w:val="22"/>
              </w:rPr>
            </w:pPr>
            <w:r w:rsidRPr="005C5B4B">
              <w:rPr>
                <w:rFonts w:ascii="Arial" w:hAnsi="Arial" w:cs="Arial"/>
                <w:b/>
                <w:sz w:val="20"/>
                <w:szCs w:val="22"/>
              </w:rPr>
              <w:t>T3</w:t>
            </w:r>
          </w:p>
        </w:tc>
        <w:tc>
          <w:tcPr>
            <w:tcW w:w="1068" w:type="dxa"/>
            <w:tcBorders>
              <w:top w:val="nil"/>
              <w:left w:val="nil"/>
              <w:bottom w:val="single" w:sz="4" w:space="0" w:color="auto"/>
              <w:right w:val="single" w:sz="4" w:space="0" w:color="auto"/>
            </w:tcBorders>
            <w:shd w:val="clear" w:color="auto" w:fill="auto"/>
            <w:noWrap/>
            <w:vAlign w:val="bottom"/>
          </w:tcPr>
          <w:p w:rsidR="00836E34" w:rsidRDefault="00836E34" w:rsidP="00836E34">
            <w:pPr>
              <w:jc w:val="center"/>
              <w:rPr>
                <w:rFonts w:ascii="Arial" w:hAnsi="Arial" w:cs="Arial"/>
                <w:sz w:val="20"/>
                <w:szCs w:val="20"/>
              </w:rPr>
            </w:pPr>
            <w:r>
              <w:rPr>
                <w:rFonts w:ascii="Arial" w:hAnsi="Arial" w:cs="Arial"/>
                <w:sz w:val="20"/>
                <w:szCs w:val="20"/>
              </w:rPr>
              <w:t>2,52</w:t>
            </w:r>
          </w:p>
        </w:tc>
        <w:tc>
          <w:tcPr>
            <w:tcW w:w="1092" w:type="dxa"/>
            <w:tcBorders>
              <w:top w:val="nil"/>
              <w:left w:val="nil"/>
              <w:bottom w:val="single" w:sz="4" w:space="0" w:color="auto"/>
              <w:right w:val="single" w:sz="4" w:space="0" w:color="auto"/>
            </w:tcBorders>
            <w:shd w:val="clear" w:color="auto" w:fill="auto"/>
            <w:noWrap/>
            <w:vAlign w:val="bottom"/>
          </w:tcPr>
          <w:p w:rsidR="00836E34" w:rsidRDefault="00836E34" w:rsidP="00836E34">
            <w:pPr>
              <w:jc w:val="center"/>
              <w:rPr>
                <w:rFonts w:ascii="Arial" w:hAnsi="Arial" w:cs="Arial"/>
                <w:sz w:val="20"/>
                <w:szCs w:val="20"/>
              </w:rPr>
            </w:pPr>
            <w:r>
              <w:rPr>
                <w:rFonts w:ascii="Arial" w:hAnsi="Arial" w:cs="Arial"/>
                <w:sz w:val="20"/>
                <w:szCs w:val="20"/>
              </w:rPr>
              <w:t>5,6</w:t>
            </w:r>
          </w:p>
        </w:tc>
        <w:tc>
          <w:tcPr>
            <w:tcW w:w="1260" w:type="dxa"/>
            <w:tcBorders>
              <w:top w:val="nil"/>
              <w:left w:val="nil"/>
              <w:bottom w:val="single" w:sz="4" w:space="0" w:color="auto"/>
              <w:right w:val="single" w:sz="4" w:space="0" w:color="auto"/>
            </w:tcBorders>
            <w:shd w:val="clear" w:color="auto" w:fill="auto"/>
            <w:noWrap/>
            <w:vAlign w:val="bottom"/>
          </w:tcPr>
          <w:p w:rsidR="00836E34" w:rsidRDefault="00836E34" w:rsidP="00836E34">
            <w:pPr>
              <w:jc w:val="center"/>
              <w:rPr>
                <w:rFonts w:ascii="Arial" w:hAnsi="Arial" w:cs="Arial"/>
                <w:sz w:val="20"/>
                <w:szCs w:val="20"/>
              </w:rPr>
            </w:pPr>
            <w:r>
              <w:rPr>
                <w:rFonts w:ascii="Arial" w:hAnsi="Arial" w:cs="Arial"/>
                <w:sz w:val="20"/>
                <w:szCs w:val="20"/>
              </w:rPr>
              <w:t>0,126</w:t>
            </w:r>
          </w:p>
        </w:tc>
        <w:tc>
          <w:tcPr>
            <w:tcW w:w="1531" w:type="dxa"/>
            <w:tcBorders>
              <w:top w:val="nil"/>
              <w:left w:val="nil"/>
              <w:bottom w:val="single" w:sz="4" w:space="0" w:color="auto"/>
              <w:right w:val="single" w:sz="4" w:space="0" w:color="auto"/>
            </w:tcBorders>
            <w:shd w:val="clear" w:color="auto" w:fill="auto"/>
            <w:noWrap/>
            <w:vAlign w:val="bottom"/>
          </w:tcPr>
          <w:p w:rsidR="00836E34" w:rsidRDefault="00836E34" w:rsidP="00836E34">
            <w:pPr>
              <w:jc w:val="center"/>
              <w:rPr>
                <w:rFonts w:ascii="Arial" w:hAnsi="Arial" w:cs="Arial"/>
                <w:sz w:val="20"/>
                <w:szCs w:val="20"/>
              </w:rPr>
            </w:pPr>
            <w:r>
              <w:rPr>
                <w:rFonts w:ascii="Arial" w:hAnsi="Arial" w:cs="Arial"/>
                <w:sz w:val="20"/>
                <w:szCs w:val="20"/>
              </w:rPr>
              <w:t>10,2</w:t>
            </w:r>
          </w:p>
        </w:tc>
        <w:tc>
          <w:tcPr>
            <w:tcW w:w="1520" w:type="dxa"/>
            <w:tcBorders>
              <w:top w:val="nil"/>
              <w:left w:val="nil"/>
              <w:bottom w:val="single" w:sz="4" w:space="0" w:color="auto"/>
              <w:right w:val="single" w:sz="4" w:space="0" w:color="auto"/>
            </w:tcBorders>
            <w:shd w:val="clear" w:color="auto" w:fill="auto"/>
            <w:noWrap/>
            <w:vAlign w:val="bottom"/>
          </w:tcPr>
          <w:p w:rsidR="00836E34" w:rsidRDefault="00836E34" w:rsidP="00836E34">
            <w:pPr>
              <w:jc w:val="center"/>
              <w:rPr>
                <w:rFonts w:ascii="Arial" w:hAnsi="Arial" w:cs="Arial"/>
                <w:sz w:val="20"/>
                <w:szCs w:val="20"/>
              </w:rPr>
            </w:pPr>
            <w:r>
              <w:rPr>
                <w:rFonts w:ascii="Arial" w:hAnsi="Arial" w:cs="Arial"/>
                <w:sz w:val="20"/>
                <w:szCs w:val="20"/>
              </w:rPr>
              <w:t>9,4</w:t>
            </w:r>
          </w:p>
        </w:tc>
        <w:tc>
          <w:tcPr>
            <w:tcW w:w="1540" w:type="dxa"/>
            <w:tcBorders>
              <w:top w:val="nil"/>
              <w:left w:val="nil"/>
              <w:bottom w:val="single" w:sz="4" w:space="0" w:color="auto"/>
              <w:right w:val="double" w:sz="6" w:space="0" w:color="auto"/>
            </w:tcBorders>
            <w:shd w:val="clear" w:color="auto" w:fill="auto"/>
            <w:noWrap/>
            <w:vAlign w:val="bottom"/>
          </w:tcPr>
          <w:p w:rsidR="00836E34" w:rsidRDefault="00836E34" w:rsidP="00836E34">
            <w:pPr>
              <w:jc w:val="center"/>
              <w:rPr>
                <w:rFonts w:ascii="Arial" w:hAnsi="Arial" w:cs="Arial"/>
                <w:sz w:val="20"/>
                <w:szCs w:val="20"/>
              </w:rPr>
            </w:pPr>
            <w:r>
              <w:rPr>
                <w:rFonts w:ascii="Arial" w:hAnsi="Arial" w:cs="Arial"/>
                <w:sz w:val="20"/>
                <w:szCs w:val="20"/>
              </w:rPr>
              <w:t>6,5</w:t>
            </w:r>
          </w:p>
        </w:tc>
      </w:tr>
      <w:tr w:rsidR="00836E34" w:rsidRPr="0022296B" w:rsidTr="000962B0">
        <w:trPr>
          <w:trHeight w:val="255"/>
          <w:jc w:val="center"/>
        </w:trPr>
        <w:tc>
          <w:tcPr>
            <w:tcW w:w="1387" w:type="dxa"/>
            <w:tcBorders>
              <w:top w:val="nil"/>
              <w:left w:val="double" w:sz="6" w:space="0" w:color="auto"/>
              <w:bottom w:val="single" w:sz="4" w:space="0" w:color="auto"/>
              <w:right w:val="single" w:sz="4" w:space="0" w:color="auto"/>
            </w:tcBorders>
            <w:shd w:val="clear" w:color="auto" w:fill="auto"/>
            <w:noWrap/>
            <w:vAlign w:val="center"/>
          </w:tcPr>
          <w:p w:rsidR="00836E34" w:rsidRPr="005C5B4B" w:rsidRDefault="00836E34" w:rsidP="00836E34">
            <w:pPr>
              <w:jc w:val="center"/>
              <w:rPr>
                <w:rFonts w:ascii="Arial" w:hAnsi="Arial" w:cs="Arial"/>
                <w:b/>
                <w:sz w:val="20"/>
                <w:szCs w:val="22"/>
              </w:rPr>
            </w:pPr>
            <w:r w:rsidRPr="005C5B4B">
              <w:rPr>
                <w:rFonts w:ascii="Arial" w:hAnsi="Arial" w:cs="Arial"/>
                <w:b/>
                <w:sz w:val="20"/>
                <w:szCs w:val="22"/>
              </w:rPr>
              <w:t>T4</w:t>
            </w:r>
          </w:p>
        </w:tc>
        <w:tc>
          <w:tcPr>
            <w:tcW w:w="1068" w:type="dxa"/>
            <w:tcBorders>
              <w:top w:val="nil"/>
              <w:left w:val="nil"/>
              <w:bottom w:val="single" w:sz="4" w:space="0" w:color="auto"/>
              <w:right w:val="single" w:sz="4" w:space="0" w:color="auto"/>
            </w:tcBorders>
            <w:shd w:val="clear" w:color="auto" w:fill="auto"/>
            <w:noWrap/>
            <w:vAlign w:val="bottom"/>
          </w:tcPr>
          <w:p w:rsidR="00836E34" w:rsidRDefault="00836E34" w:rsidP="00836E34">
            <w:pPr>
              <w:jc w:val="center"/>
              <w:rPr>
                <w:rFonts w:ascii="Arial" w:hAnsi="Arial" w:cs="Arial"/>
                <w:sz w:val="20"/>
                <w:szCs w:val="20"/>
              </w:rPr>
            </w:pPr>
            <w:r>
              <w:rPr>
                <w:rFonts w:ascii="Arial" w:hAnsi="Arial" w:cs="Arial"/>
                <w:sz w:val="20"/>
                <w:szCs w:val="20"/>
              </w:rPr>
              <w:t>2,50</w:t>
            </w:r>
          </w:p>
        </w:tc>
        <w:tc>
          <w:tcPr>
            <w:tcW w:w="1092" w:type="dxa"/>
            <w:tcBorders>
              <w:top w:val="nil"/>
              <w:left w:val="nil"/>
              <w:bottom w:val="single" w:sz="4" w:space="0" w:color="auto"/>
              <w:right w:val="single" w:sz="4" w:space="0" w:color="auto"/>
            </w:tcBorders>
            <w:shd w:val="clear" w:color="auto" w:fill="auto"/>
            <w:noWrap/>
            <w:vAlign w:val="bottom"/>
          </w:tcPr>
          <w:p w:rsidR="00836E34" w:rsidRDefault="00836E34" w:rsidP="00836E34">
            <w:pPr>
              <w:jc w:val="center"/>
              <w:rPr>
                <w:rFonts w:ascii="Arial" w:hAnsi="Arial" w:cs="Arial"/>
                <w:sz w:val="20"/>
                <w:szCs w:val="20"/>
              </w:rPr>
            </w:pPr>
            <w:r>
              <w:rPr>
                <w:rFonts w:ascii="Arial" w:hAnsi="Arial" w:cs="Arial"/>
                <w:sz w:val="20"/>
                <w:szCs w:val="20"/>
              </w:rPr>
              <w:t>5,6</w:t>
            </w:r>
          </w:p>
        </w:tc>
        <w:tc>
          <w:tcPr>
            <w:tcW w:w="1260" w:type="dxa"/>
            <w:tcBorders>
              <w:top w:val="nil"/>
              <w:left w:val="nil"/>
              <w:bottom w:val="single" w:sz="4" w:space="0" w:color="auto"/>
              <w:right w:val="single" w:sz="4" w:space="0" w:color="auto"/>
            </w:tcBorders>
            <w:shd w:val="clear" w:color="auto" w:fill="auto"/>
            <w:noWrap/>
            <w:vAlign w:val="bottom"/>
          </w:tcPr>
          <w:p w:rsidR="00836E34" w:rsidRDefault="00836E34" w:rsidP="00836E34">
            <w:pPr>
              <w:jc w:val="center"/>
              <w:rPr>
                <w:rFonts w:ascii="Arial" w:hAnsi="Arial" w:cs="Arial"/>
                <w:sz w:val="20"/>
                <w:szCs w:val="20"/>
              </w:rPr>
            </w:pPr>
            <w:r>
              <w:rPr>
                <w:rFonts w:ascii="Arial" w:hAnsi="Arial" w:cs="Arial"/>
                <w:sz w:val="20"/>
                <w:szCs w:val="20"/>
              </w:rPr>
              <w:t>0,125</w:t>
            </w:r>
          </w:p>
        </w:tc>
        <w:tc>
          <w:tcPr>
            <w:tcW w:w="1531" w:type="dxa"/>
            <w:tcBorders>
              <w:top w:val="nil"/>
              <w:left w:val="nil"/>
              <w:bottom w:val="single" w:sz="4" w:space="0" w:color="auto"/>
              <w:right w:val="single" w:sz="4" w:space="0" w:color="auto"/>
            </w:tcBorders>
            <w:shd w:val="clear" w:color="auto" w:fill="auto"/>
            <w:noWrap/>
            <w:vAlign w:val="bottom"/>
          </w:tcPr>
          <w:p w:rsidR="00836E34" w:rsidRDefault="00836E34" w:rsidP="00836E34">
            <w:pPr>
              <w:jc w:val="center"/>
              <w:rPr>
                <w:rFonts w:ascii="Arial" w:hAnsi="Arial" w:cs="Arial"/>
                <w:sz w:val="20"/>
                <w:szCs w:val="20"/>
              </w:rPr>
            </w:pPr>
            <w:r>
              <w:rPr>
                <w:rFonts w:ascii="Arial" w:hAnsi="Arial" w:cs="Arial"/>
                <w:sz w:val="20"/>
                <w:szCs w:val="20"/>
              </w:rPr>
              <w:t>10,4</w:t>
            </w:r>
          </w:p>
        </w:tc>
        <w:tc>
          <w:tcPr>
            <w:tcW w:w="1520" w:type="dxa"/>
            <w:tcBorders>
              <w:top w:val="nil"/>
              <w:left w:val="nil"/>
              <w:bottom w:val="single" w:sz="4" w:space="0" w:color="auto"/>
              <w:right w:val="single" w:sz="4" w:space="0" w:color="auto"/>
            </w:tcBorders>
            <w:shd w:val="clear" w:color="auto" w:fill="auto"/>
            <w:noWrap/>
            <w:vAlign w:val="bottom"/>
          </w:tcPr>
          <w:p w:rsidR="00836E34" w:rsidRDefault="00836E34" w:rsidP="00836E34">
            <w:pPr>
              <w:jc w:val="center"/>
              <w:rPr>
                <w:rFonts w:ascii="Arial" w:hAnsi="Arial" w:cs="Arial"/>
                <w:sz w:val="20"/>
                <w:szCs w:val="20"/>
              </w:rPr>
            </w:pPr>
            <w:r>
              <w:rPr>
                <w:rFonts w:ascii="Arial" w:hAnsi="Arial" w:cs="Arial"/>
                <w:sz w:val="20"/>
                <w:szCs w:val="20"/>
              </w:rPr>
              <w:t>14,2</w:t>
            </w:r>
          </w:p>
        </w:tc>
        <w:tc>
          <w:tcPr>
            <w:tcW w:w="1540" w:type="dxa"/>
            <w:tcBorders>
              <w:top w:val="nil"/>
              <w:left w:val="nil"/>
              <w:bottom w:val="single" w:sz="4" w:space="0" w:color="auto"/>
              <w:right w:val="double" w:sz="6" w:space="0" w:color="auto"/>
            </w:tcBorders>
            <w:shd w:val="clear" w:color="auto" w:fill="auto"/>
            <w:noWrap/>
            <w:vAlign w:val="bottom"/>
          </w:tcPr>
          <w:p w:rsidR="00836E34" w:rsidRDefault="00836E34" w:rsidP="00836E34">
            <w:pPr>
              <w:jc w:val="center"/>
              <w:rPr>
                <w:rFonts w:ascii="Arial" w:hAnsi="Arial" w:cs="Arial"/>
                <w:sz w:val="20"/>
                <w:szCs w:val="20"/>
              </w:rPr>
            </w:pPr>
            <w:r>
              <w:rPr>
                <w:rFonts w:ascii="Arial" w:hAnsi="Arial" w:cs="Arial"/>
                <w:sz w:val="20"/>
                <w:szCs w:val="20"/>
              </w:rPr>
              <w:t>7,1</w:t>
            </w:r>
          </w:p>
        </w:tc>
      </w:tr>
      <w:tr w:rsidR="00836E34" w:rsidRPr="0022296B" w:rsidTr="000962B0">
        <w:trPr>
          <w:trHeight w:val="270"/>
          <w:jc w:val="center"/>
        </w:trPr>
        <w:tc>
          <w:tcPr>
            <w:tcW w:w="1387" w:type="dxa"/>
            <w:tcBorders>
              <w:top w:val="nil"/>
              <w:left w:val="double" w:sz="6" w:space="0" w:color="auto"/>
              <w:bottom w:val="double" w:sz="6" w:space="0" w:color="auto"/>
              <w:right w:val="single" w:sz="4" w:space="0" w:color="auto"/>
            </w:tcBorders>
            <w:shd w:val="clear" w:color="auto" w:fill="auto"/>
            <w:noWrap/>
            <w:vAlign w:val="center"/>
          </w:tcPr>
          <w:p w:rsidR="00836E34" w:rsidRPr="005C5B4B" w:rsidRDefault="00836E34" w:rsidP="00836E34">
            <w:pPr>
              <w:jc w:val="center"/>
              <w:rPr>
                <w:rFonts w:ascii="Arial" w:hAnsi="Arial" w:cs="Arial"/>
                <w:b/>
                <w:sz w:val="20"/>
                <w:szCs w:val="22"/>
              </w:rPr>
            </w:pPr>
            <w:r w:rsidRPr="005C5B4B">
              <w:rPr>
                <w:rFonts w:ascii="Arial" w:hAnsi="Arial" w:cs="Arial"/>
                <w:b/>
                <w:sz w:val="20"/>
                <w:szCs w:val="22"/>
              </w:rPr>
              <w:t>T5</w:t>
            </w:r>
          </w:p>
        </w:tc>
        <w:tc>
          <w:tcPr>
            <w:tcW w:w="1068" w:type="dxa"/>
            <w:tcBorders>
              <w:top w:val="nil"/>
              <w:left w:val="nil"/>
              <w:bottom w:val="double" w:sz="6" w:space="0" w:color="auto"/>
              <w:right w:val="single" w:sz="4" w:space="0" w:color="auto"/>
            </w:tcBorders>
            <w:shd w:val="clear" w:color="auto" w:fill="auto"/>
            <w:noWrap/>
            <w:vAlign w:val="bottom"/>
          </w:tcPr>
          <w:p w:rsidR="00836E34" w:rsidRDefault="00836E34" w:rsidP="00836E34">
            <w:pPr>
              <w:jc w:val="center"/>
              <w:rPr>
                <w:rFonts w:ascii="Arial" w:hAnsi="Arial" w:cs="Arial"/>
                <w:sz w:val="20"/>
                <w:szCs w:val="20"/>
              </w:rPr>
            </w:pPr>
            <w:r>
              <w:rPr>
                <w:rFonts w:ascii="Arial" w:hAnsi="Arial" w:cs="Arial"/>
                <w:sz w:val="20"/>
                <w:szCs w:val="20"/>
              </w:rPr>
              <w:t>2,51</w:t>
            </w:r>
          </w:p>
        </w:tc>
        <w:tc>
          <w:tcPr>
            <w:tcW w:w="1092" w:type="dxa"/>
            <w:tcBorders>
              <w:top w:val="nil"/>
              <w:left w:val="nil"/>
              <w:bottom w:val="double" w:sz="6" w:space="0" w:color="auto"/>
              <w:right w:val="single" w:sz="4" w:space="0" w:color="auto"/>
            </w:tcBorders>
            <w:shd w:val="clear" w:color="auto" w:fill="auto"/>
            <w:noWrap/>
            <w:vAlign w:val="bottom"/>
          </w:tcPr>
          <w:p w:rsidR="00836E34" w:rsidRDefault="00836E34" w:rsidP="00836E34">
            <w:pPr>
              <w:jc w:val="center"/>
              <w:rPr>
                <w:rFonts w:ascii="Arial" w:hAnsi="Arial" w:cs="Arial"/>
                <w:sz w:val="20"/>
                <w:szCs w:val="20"/>
              </w:rPr>
            </w:pPr>
            <w:r>
              <w:rPr>
                <w:rFonts w:ascii="Arial" w:hAnsi="Arial" w:cs="Arial"/>
                <w:sz w:val="20"/>
                <w:szCs w:val="20"/>
              </w:rPr>
              <w:t>5,6</w:t>
            </w:r>
          </w:p>
        </w:tc>
        <w:tc>
          <w:tcPr>
            <w:tcW w:w="1260" w:type="dxa"/>
            <w:tcBorders>
              <w:top w:val="nil"/>
              <w:left w:val="nil"/>
              <w:bottom w:val="double" w:sz="6" w:space="0" w:color="auto"/>
              <w:right w:val="single" w:sz="4" w:space="0" w:color="auto"/>
            </w:tcBorders>
            <w:shd w:val="clear" w:color="auto" w:fill="auto"/>
            <w:noWrap/>
            <w:vAlign w:val="bottom"/>
          </w:tcPr>
          <w:p w:rsidR="00836E34" w:rsidRDefault="00836E34" w:rsidP="00836E34">
            <w:pPr>
              <w:jc w:val="center"/>
              <w:rPr>
                <w:rFonts w:ascii="Arial" w:hAnsi="Arial" w:cs="Arial"/>
                <w:sz w:val="20"/>
                <w:szCs w:val="20"/>
              </w:rPr>
            </w:pPr>
            <w:r>
              <w:rPr>
                <w:rFonts w:ascii="Arial" w:hAnsi="Arial" w:cs="Arial"/>
                <w:sz w:val="20"/>
                <w:szCs w:val="20"/>
              </w:rPr>
              <w:t>0,125</w:t>
            </w:r>
          </w:p>
        </w:tc>
        <w:tc>
          <w:tcPr>
            <w:tcW w:w="1531" w:type="dxa"/>
            <w:tcBorders>
              <w:top w:val="nil"/>
              <w:left w:val="nil"/>
              <w:bottom w:val="double" w:sz="6" w:space="0" w:color="auto"/>
              <w:right w:val="single" w:sz="4" w:space="0" w:color="auto"/>
            </w:tcBorders>
            <w:shd w:val="clear" w:color="auto" w:fill="auto"/>
            <w:noWrap/>
            <w:vAlign w:val="bottom"/>
          </w:tcPr>
          <w:p w:rsidR="00836E34" w:rsidRDefault="00836E34" w:rsidP="00836E34">
            <w:pPr>
              <w:jc w:val="center"/>
              <w:rPr>
                <w:rFonts w:ascii="Arial" w:hAnsi="Arial" w:cs="Arial"/>
                <w:sz w:val="20"/>
                <w:szCs w:val="20"/>
              </w:rPr>
            </w:pPr>
            <w:r>
              <w:rPr>
                <w:rFonts w:ascii="Arial" w:hAnsi="Arial" w:cs="Arial"/>
                <w:sz w:val="20"/>
                <w:szCs w:val="20"/>
              </w:rPr>
              <w:t>10,9</w:t>
            </w:r>
          </w:p>
        </w:tc>
        <w:tc>
          <w:tcPr>
            <w:tcW w:w="1520" w:type="dxa"/>
            <w:tcBorders>
              <w:top w:val="nil"/>
              <w:left w:val="nil"/>
              <w:bottom w:val="double" w:sz="6" w:space="0" w:color="auto"/>
              <w:right w:val="single" w:sz="4" w:space="0" w:color="auto"/>
            </w:tcBorders>
            <w:shd w:val="clear" w:color="auto" w:fill="auto"/>
            <w:noWrap/>
            <w:vAlign w:val="bottom"/>
          </w:tcPr>
          <w:p w:rsidR="00836E34" w:rsidRDefault="00836E34" w:rsidP="00836E34">
            <w:pPr>
              <w:jc w:val="center"/>
              <w:rPr>
                <w:rFonts w:ascii="Arial" w:hAnsi="Arial" w:cs="Arial"/>
                <w:sz w:val="20"/>
                <w:szCs w:val="20"/>
              </w:rPr>
            </w:pPr>
            <w:r>
              <w:rPr>
                <w:rFonts w:ascii="Arial" w:hAnsi="Arial" w:cs="Arial"/>
                <w:sz w:val="20"/>
                <w:szCs w:val="20"/>
              </w:rPr>
              <w:t>28,3</w:t>
            </w:r>
          </w:p>
        </w:tc>
        <w:tc>
          <w:tcPr>
            <w:tcW w:w="1540" w:type="dxa"/>
            <w:tcBorders>
              <w:top w:val="nil"/>
              <w:left w:val="nil"/>
              <w:bottom w:val="double" w:sz="6" w:space="0" w:color="auto"/>
              <w:right w:val="double" w:sz="6" w:space="0" w:color="auto"/>
            </w:tcBorders>
            <w:shd w:val="clear" w:color="auto" w:fill="auto"/>
            <w:noWrap/>
            <w:vAlign w:val="bottom"/>
          </w:tcPr>
          <w:p w:rsidR="00836E34" w:rsidRDefault="00836E34" w:rsidP="00836E34">
            <w:pPr>
              <w:jc w:val="center"/>
              <w:rPr>
                <w:rFonts w:ascii="Arial" w:hAnsi="Arial" w:cs="Arial"/>
                <w:sz w:val="20"/>
                <w:szCs w:val="20"/>
              </w:rPr>
            </w:pPr>
            <w:r>
              <w:rPr>
                <w:rFonts w:ascii="Arial" w:hAnsi="Arial" w:cs="Arial"/>
                <w:sz w:val="20"/>
                <w:szCs w:val="20"/>
              </w:rPr>
              <w:t>8,3</w:t>
            </w:r>
          </w:p>
        </w:tc>
      </w:tr>
    </w:tbl>
    <w:p w:rsidR="00E516B0" w:rsidRDefault="00E516B0" w:rsidP="00FD706A">
      <w:pPr>
        <w:jc w:val="both"/>
        <w:rPr>
          <w:rFonts w:ascii="Arial" w:hAnsi="Arial" w:cs="Arial"/>
          <w:sz w:val="22"/>
          <w:szCs w:val="22"/>
          <w:lang w:val="es-ES_tradnl"/>
        </w:rPr>
      </w:pPr>
    </w:p>
    <w:p w:rsidR="00F96BE0" w:rsidRDefault="00DE584B" w:rsidP="00FD706A">
      <w:pPr>
        <w:jc w:val="both"/>
        <w:rPr>
          <w:rFonts w:ascii="Arial" w:hAnsi="Arial" w:cs="Arial"/>
          <w:sz w:val="22"/>
          <w:szCs w:val="22"/>
          <w:lang w:val="es-ES_tradnl"/>
        </w:rPr>
      </w:pPr>
      <w:r w:rsidRPr="0022296B">
        <w:rPr>
          <w:rFonts w:ascii="Arial" w:hAnsi="Arial" w:cs="Arial"/>
          <w:sz w:val="22"/>
          <w:szCs w:val="22"/>
          <w:lang w:val="es-ES_tradnl"/>
        </w:rPr>
        <w:t xml:space="preserve">La relación entre </w:t>
      </w:r>
      <w:r w:rsidR="00521493" w:rsidRPr="0022296B">
        <w:rPr>
          <w:rFonts w:ascii="Arial" w:hAnsi="Arial" w:cs="Arial"/>
          <w:sz w:val="22"/>
          <w:szCs w:val="22"/>
          <w:lang w:val="es-ES_tradnl"/>
        </w:rPr>
        <w:t xml:space="preserve">el balance de P </w:t>
      </w:r>
      <w:r w:rsidRPr="0022296B">
        <w:rPr>
          <w:rFonts w:ascii="Arial" w:hAnsi="Arial" w:cs="Arial"/>
          <w:sz w:val="22"/>
          <w:szCs w:val="22"/>
          <w:lang w:val="es-ES_tradnl"/>
        </w:rPr>
        <w:t>(</w:t>
      </w:r>
      <w:r w:rsidRPr="0022296B">
        <w:rPr>
          <w:rFonts w:ascii="Arial" w:hAnsi="Arial" w:cs="Arial"/>
          <w:b/>
          <w:sz w:val="22"/>
          <w:szCs w:val="22"/>
          <w:lang w:val="es-ES_tradnl"/>
        </w:rPr>
        <w:t>Tabla 2</w:t>
      </w:r>
      <w:r w:rsidRPr="0022296B">
        <w:rPr>
          <w:rFonts w:ascii="Arial" w:hAnsi="Arial" w:cs="Arial"/>
          <w:sz w:val="22"/>
          <w:szCs w:val="22"/>
          <w:lang w:val="es-ES_tradnl"/>
        </w:rPr>
        <w:t>) y</w:t>
      </w:r>
      <w:r w:rsidR="00521493" w:rsidRPr="0022296B">
        <w:rPr>
          <w:rFonts w:ascii="Arial" w:hAnsi="Arial" w:cs="Arial"/>
          <w:sz w:val="22"/>
          <w:szCs w:val="22"/>
          <w:lang w:val="es-ES_tradnl"/>
        </w:rPr>
        <w:t xml:space="preserve"> </w:t>
      </w:r>
      <w:r w:rsidRPr="0022296B">
        <w:rPr>
          <w:rFonts w:ascii="Arial" w:hAnsi="Arial" w:cs="Arial"/>
          <w:sz w:val="22"/>
          <w:szCs w:val="22"/>
          <w:lang w:val="es-ES_tradnl"/>
        </w:rPr>
        <w:t>el P Bray</w:t>
      </w:r>
      <w:r w:rsidRPr="00F96BE0">
        <w:rPr>
          <w:rFonts w:ascii="Arial" w:hAnsi="Arial" w:cs="Arial"/>
          <w:sz w:val="22"/>
          <w:szCs w:val="22"/>
          <w:vertAlign w:val="superscript"/>
          <w:lang w:val="es-ES_tradnl"/>
        </w:rPr>
        <w:t>-1</w:t>
      </w:r>
      <w:r w:rsidRPr="0022296B">
        <w:rPr>
          <w:rFonts w:ascii="Arial" w:hAnsi="Arial" w:cs="Arial"/>
          <w:sz w:val="22"/>
          <w:szCs w:val="22"/>
          <w:lang w:val="es-ES_tradnl"/>
        </w:rPr>
        <w:t xml:space="preserve"> determinado</w:t>
      </w:r>
      <w:r w:rsidR="00521493" w:rsidRPr="0022296B">
        <w:rPr>
          <w:rFonts w:ascii="Arial" w:hAnsi="Arial" w:cs="Arial"/>
          <w:sz w:val="22"/>
          <w:szCs w:val="22"/>
          <w:lang w:val="es-ES_tradnl"/>
        </w:rPr>
        <w:t xml:space="preserve"> en el suelo</w:t>
      </w:r>
      <w:r w:rsidR="0045173B" w:rsidRPr="0022296B">
        <w:rPr>
          <w:rFonts w:ascii="Arial" w:hAnsi="Arial" w:cs="Arial"/>
          <w:sz w:val="22"/>
          <w:szCs w:val="22"/>
          <w:lang w:val="es-ES_tradnl"/>
        </w:rPr>
        <w:t xml:space="preserve"> al final de la cosecha </w:t>
      </w:r>
      <w:r w:rsidRPr="0022296B">
        <w:rPr>
          <w:rFonts w:ascii="Arial" w:hAnsi="Arial" w:cs="Arial"/>
          <w:sz w:val="22"/>
          <w:szCs w:val="22"/>
          <w:lang w:val="es-ES_tradnl"/>
        </w:rPr>
        <w:t>(</w:t>
      </w:r>
      <w:r w:rsidRPr="0022296B">
        <w:rPr>
          <w:rFonts w:ascii="Arial" w:hAnsi="Arial" w:cs="Arial"/>
          <w:b/>
          <w:sz w:val="22"/>
          <w:szCs w:val="22"/>
          <w:lang w:val="es-ES_tradnl"/>
        </w:rPr>
        <w:t>Figura 3</w:t>
      </w:r>
      <w:r w:rsidRPr="0022296B">
        <w:rPr>
          <w:rFonts w:ascii="Arial" w:hAnsi="Arial" w:cs="Arial"/>
          <w:sz w:val="22"/>
          <w:szCs w:val="22"/>
          <w:lang w:val="es-ES_tradnl"/>
        </w:rPr>
        <w:t xml:space="preserve">, </w:t>
      </w:r>
      <w:r w:rsidRPr="0022296B">
        <w:rPr>
          <w:rFonts w:ascii="Arial" w:hAnsi="Arial" w:cs="Arial"/>
          <w:b/>
          <w:sz w:val="22"/>
          <w:szCs w:val="22"/>
          <w:lang w:val="es-ES_tradnl"/>
        </w:rPr>
        <w:t>Tabla 3</w:t>
      </w:r>
      <w:r w:rsidRPr="0022296B">
        <w:rPr>
          <w:rFonts w:ascii="Arial" w:hAnsi="Arial" w:cs="Arial"/>
          <w:sz w:val="22"/>
          <w:szCs w:val="22"/>
          <w:lang w:val="es-ES_tradnl"/>
        </w:rPr>
        <w:t>) permite estimar</w:t>
      </w:r>
      <w:r w:rsidR="00521493" w:rsidRPr="0022296B">
        <w:rPr>
          <w:rFonts w:ascii="Arial" w:hAnsi="Arial" w:cs="Arial"/>
          <w:sz w:val="22"/>
          <w:szCs w:val="22"/>
          <w:lang w:val="es-ES_tradnl"/>
        </w:rPr>
        <w:t xml:space="preserve"> la tasa de cambio en función de la extracción o reposición del nutriente</w:t>
      </w:r>
      <w:r w:rsidR="00521493" w:rsidRPr="00836E34">
        <w:rPr>
          <w:rFonts w:ascii="Arial" w:hAnsi="Arial" w:cs="Arial"/>
          <w:color w:val="FF0000"/>
          <w:sz w:val="22"/>
          <w:szCs w:val="22"/>
          <w:lang w:val="es-ES_tradnl"/>
        </w:rPr>
        <w:t>.</w:t>
      </w:r>
      <w:r w:rsidR="00521493" w:rsidRPr="008078CA">
        <w:rPr>
          <w:rFonts w:ascii="Arial" w:hAnsi="Arial" w:cs="Arial"/>
          <w:color w:val="000000" w:themeColor="text1"/>
          <w:sz w:val="22"/>
          <w:szCs w:val="22"/>
          <w:lang w:val="es-ES_tradnl"/>
        </w:rPr>
        <w:t xml:space="preserve"> </w:t>
      </w:r>
      <w:r w:rsidR="00E05640" w:rsidRPr="008078CA">
        <w:rPr>
          <w:rFonts w:ascii="Arial" w:hAnsi="Arial" w:cs="Arial"/>
          <w:color w:val="000000" w:themeColor="text1"/>
          <w:sz w:val="22"/>
          <w:szCs w:val="22"/>
          <w:lang w:val="es-ES_tradnl"/>
        </w:rPr>
        <w:t xml:space="preserve">La </w:t>
      </w:r>
      <w:r w:rsidR="00E05640" w:rsidRPr="008078CA">
        <w:rPr>
          <w:rFonts w:ascii="Arial" w:hAnsi="Arial" w:cs="Arial"/>
          <w:b/>
          <w:color w:val="000000" w:themeColor="text1"/>
          <w:sz w:val="22"/>
          <w:szCs w:val="22"/>
          <w:lang w:val="es-ES_tradnl"/>
        </w:rPr>
        <w:t>Figura 4</w:t>
      </w:r>
      <w:r w:rsidR="00E05640" w:rsidRPr="008078CA">
        <w:rPr>
          <w:rFonts w:ascii="Arial" w:hAnsi="Arial" w:cs="Arial"/>
          <w:color w:val="000000" w:themeColor="text1"/>
          <w:sz w:val="22"/>
          <w:szCs w:val="22"/>
          <w:lang w:val="es-ES_tradnl"/>
        </w:rPr>
        <w:t xml:space="preserve"> muestra una función </w:t>
      </w:r>
      <w:r w:rsidR="008078CA" w:rsidRPr="008078CA">
        <w:rPr>
          <w:rFonts w:ascii="Arial" w:hAnsi="Arial" w:cs="Arial"/>
          <w:color w:val="000000" w:themeColor="text1"/>
          <w:sz w:val="22"/>
          <w:szCs w:val="22"/>
          <w:lang w:val="es-ES_tradnl"/>
        </w:rPr>
        <w:t>exponencial, que fuera la de mayor ajuste a los datos observados</w:t>
      </w:r>
      <w:r w:rsidR="00E05640" w:rsidRPr="008078CA">
        <w:rPr>
          <w:rFonts w:ascii="Arial" w:hAnsi="Arial" w:cs="Arial"/>
          <w:color w:val="000000" w:themeColor="text1"/>
          <w:sz w:val="22"/>
          <w:szCs w:val="22"/>
          <w:lang w:val="es-ES_tradnl"/>
        </w:rPr>
        <w:t>.</w:t>
      </w:r>
      <w:r w:rsidR="008078CA" w:rsidRPr="008078CA">
        <w:rPr>
          <w:rFonts w:ascii="Arial" w:hAnsi="Arial" w:cs="Arial"/>
          <w:color w:val="000000" w:themeColor="text1"/>
          <w:sz w:val="22"/>
          <w:szCs w:val="22"/>
          <w:lang w:val="es-ES_tradnl"/>
        </w:rPr>
        <w:t xml:space="preserve"> Dicha función representa un crecimiento de P en suelo más pronunciado en el rango positivo respecto del negativo, donde se transforma en una asintótica, que caracteriza al efecto buffer del suelo</w:t>
      </w:r>
      <w:r w:rsidR="008078CA">
        <w:rPr>
          <w:rFonts w:ascii="Arial" w:hAnsi="Arial" w:cs="Arial"/>
          <w:color w:val="000000" w:themeColor="text1"/>
          <w:sz w:val="22"/>
          <w:szCs w:val="22"/>
          <w:lang w:val="es-ES_tradnl"/>
        </w:rPr>
        <w:t xml:space="preserve"> (Figura 4)</w:t>
      </w:r>
      <w:r w:rsidR="008078CA">
        <w:rPr>
          <w:rFonts w:ascii="Arial" w:hAnsi="Arial" w:cs="Arial"/>
          <w:color w:val="FF0000"/>
          <w:sz w:val="22"/>
          <w:szCs w:val="22"/>
          <w:lang w:val="es-ES_tradnl"/>
        </w:rPr>
        <w:t>.</w:t>
      </w:r>
      <w:r w:rsidR="00E05640" w:rsidRPr="00836E34">
        <w:rPr>
          <w:rFonts w:ascii="Arial" w:hAnsi="Arial" w:cs="Arial"/>
          <w:color w:val="FF0000"/>
          <w:sz w:val="22"/>
          <w:szCs w:val="22"/>
          <w:lang w:val="es-ES_tradnl"/>
        </w:rPr>
        <w:t xml:space="preserve"> </w:t>
      </w:r>
      <w:r w:rsidR="008078CA" w:rsidRPr="008078CA">
        <w:rPr>
          <w:rFonts w:ascii="Arial" w:hAnsi="Arial" w:cs="Arial"/>
          <w:color w:val="000000" w:themeColor="text1"/>
          <w:sz w:val="22"/>
          <w:szCs w:val="22"/>
          <w:lang w:val="es-ES_tradnl"/>
        </w:rPr>
        <w:t xml:space="preserve">Si esta función se transforma en lineal, estadísticamente se pueden separar dos funciones, un el rango positivo y negativo, respectivamente. </w:t>
      </w:r>
      <w:r w:rsidR="00E05640">
        <w:rPr>
          <w:rFonts w:ascii="Arial" w:hAnsi="Arial" w:cs="Arial"/>
          <w:sz w:val="22"/>
          <w:szCs w:val="22"/>
          <w:lang w:val="es-ES_tradnl"/>
        </w:rPr>
        <w:t>L</w:t>
      </w:r>
      <w:r w:rsidR="00521493" w:rsidRPr="0022296B">
        <w:rPr>
          <w:rFonts w:ascii="Arial" w:hAnsi="Arial" w:cs="Arial"/>
          <w:sz w:val="22"/>
          <w:szCs w:val="22"/>
          <w:lang w:val="es-ES_tradnl"/>
        </w:rPr>
        <w:t>a inversa de la pendiente que relaciona estos parámetros indica la dosis de P</w:t>
      </w:r>
      <w:r w:rsidR="001359D6" w:rsidRPr="0022296B">
        <w:rPr>
          <w:rFonts w:ascii="Arial" w:hAnsi="Arial" w:cs="Arial"/>
          <w:sz w:val="22"/>
          <w:szCs w:val="22"/>
          <w:lang w:val="es-ES_tradnl"/>
        </w:rPr>
        <w:t xml:space="preserve"> o balance negativo</w:t>
      </w:r>
      <w:r w:rsidR="00521493" w:rsidRPr="0022296B">
        <w:rPr>
          <w:rFonts w:ascii="Arial" w:hAnsi="Arial" w:cs="Arial"/>
          <w:sz w:val="22"/>
          <w:szCs w:val="22"/>
          <w:lang w:val="es-ES_tradnl"/>
        </w:rPr>
        <w:t xml:space="preserve"> necesari</w:t>
      </w:r>
      <w:r w:rsidR="001359D6" w:rsidRPr="0022296B">
        <w:rPr>
          <w:rFonts w:ascii="Arial" w:hAnsi="Arial" w:cs="Arial"/>
          <w:sz w:val="22"/>
          <w:szCs w:val="22"/>
          <w:lang w:val="es-ES_tradnl"/>
        </w:rPr>
        <w:t>o</w:t>
      </w:r>
      <w:r w:rsidR="00521493" w:rsidRPr="0022296B">
        <w:rPr>
          <w:rFonts w:ascii="Arial" w:hAnsi="Arial" w:cs="Arial"/>
          <w:sz w:val="22"/>
          <w:szCs w:val="22"/>
          <w:lang w:val="es-ES_tradnl"/>
        </w:rPr>
        <w:t xml:space="preserve"> para variar en 1 mg kg</w:t>
      </w:r>
      <w:r w:rsidR="00521493" w:rsidRPr="0022296B">
        <w:rPr>
          <w:rFonts w:ascii="Arial" w:hAnsi="Arial" w:cs="Arial"/>
          <w:sz w:val="22"/>
          <w:szCs w:val="22"/>
          <w:vertAlign w:val="superscript"/>
          <w:lang w:val="es-ES_tradnl"/>
        </w:rPr>
        <w:t>-1</w:t>
      </w:r>
      <w:r w:rsidR="00521493" w:rsidRPr="0022296B">
        <w:rPr>
          <w:rFonts w:ascii="Arial" w:hAnsi="Arial" w:cs="Arial"/>
          <w:sz w:val="22"/>
          <w:szCs w:val="22"/>
          <w:lang w:val="es-ES_tradnl"/>
        </w:rPr>
        <w:t xml:space="preserve"> </w:t>
      </w:r>
      <w:r w:rsidR="001359D6" w:rsidRPr="0022296B">
        <w:rPr>
          <w:rFonts w:ascii="Arial" w:hAnsi="Arial" w:cs="Arial"/>
          <w:sz w:val="22"/>
          <w:szCs w:val="22"/>
          <w:lang w:val="es-ES_tradnl"/>
        </w:rPr>
        <w:t>el nivel</w:t>
      </w:r>
      <w:r w:rsidR="00521493" w:rsidRPr="0022296B">
        <w:rPr>
          <w:rFonts w:ascii="Arial" w:hAnsi="Arial" w:cs="Arial"/>
          <w:sz w:val="22"/>
          <w:szCs w:val="22"/>
          <w:lang w:val="es-ES_tradnl"/>
        </w:rPr>
        <w:t xml:space="preserve"> del </w:t>
      </w:r>
      <w:r w:rsidR="001359D6" w:rsidRPr="0022296B">
        <w:rPr>
          <w:rFonts w:ascii="Arial" w:hAnsi="Arial" w:cs="Arial"/>
          <w:sz w:val="22"/>
          <w:szCs w:val="22"/>
          <w:lang w:val="es-ES_tradnl"/>
        </w:rPr>
        <w:t>análisis de P Bray-</w:t>
      </w:r>
      <w:r w:rsidRPr="0022296B">
        <w:rPr>
          <w:rFonts w:ascii="Arial" w:hAnsi="Arial" w:cs="Arial"/>
          <w:sz w:val="22"/>
          <w:szCs w:val="22"/>
          <w:lang w:val="es-ES_tradnl"/>
        </w:rPr>
        <w:t>1</w:t>
      </w:r>
      <w:r w:rsidR="00521493" w:rsidRPr="0022296B">
        <w:rPr>
          <w:rFonts w:ascii="Arial" w:hAnsi="Arial" w:cs="Arial"/>
          <w:sz w:val="22"/>
          <w:szCs w:val="22"/>
          <w:lang w:val="es-ES_tradnl"/>
        </w:rPr>
        <w:t xml:space="preserve"> en el suelo. De acuerdo con este análisis, por cada </w:t>
      </w:r>
      <w:r w:rsidR="001A6D85" w:rsidRPr="004F67A1">
        <w:rPr>
          <w:rFonts w:ascii="Arial" w:hAnsi="Arial" w:cs="Arial"/>
          <w:b/>
          <w:sz w:val="22"/>
          <w:szCs w:val="22"/>
          <w:lang w:val="es-ES_tradnl"/>
        </w:rPr>
        <w:t>4</w:t>
      </w:r>
      <w:r w:rsidR="00836E34">
        <w:rPr>
          <w:rFonts w:ascii="Arial" w:hAnsi="Arial" w:cs="Arial"/>
          <w:b/>
          <w:sz w:val="22"/>
          <w:szCs w:val="22"/>
          <w:lang w:val="es-ES_tradnl"/>
        </w:rPr>
        <w:t>,0</w:t>
      </w:r>
      <w:r w:rsidR="00521493" w:rsidRPr="004F67A1">
        <w:rPr>
          <w:rFonts w:ascii="Arial" w:hAnsi="Arial" w:cs="Arial"/>
          <w:b/>
          <w:sz w:val="22"/>
          <w:szCs w:val="22"/>
          <w:lang w:val="es-ES_tradnl"/>
        </w:rPr>
        <w:t xml:space="preserve"> kg</w:t>
      </w:r>
      <w:r w:rsidR="001359D6" w:rsidRPr="004F67A1">
        <w:rPr>
          <w:rFonts w:ascii="Arial" w:hAnsi="Arial" w:cs="Arial"/>
          <w:b/>
          <w:sz w:val="22"/>
          <w:szCs w:val="22"/>
          <w:lang w:val="es-ES_tradnl"/>
        </w:rPr>
        <w:t xml:space="preserve"> </w:t>
      </w:r>
      <w:r w:rsidR="00521493" w:rsidRPr="004F67A1">
        <w:rPr>
          <w:rFonts w:ascii="Arial" w:hAnsi="Arial" w:cs="Arial"/>
          <w:b/>
          <w:sz w:val="22"/>
          <w:szCs w:val="22"/>
          <w:lang w:val="es-ES_tradnl"/>
        </w:rPr>
        <w:t>P ha</w:t>
      </w:r>
      <w:r w:rsidR="00521493" w:rsidRPr="004F67A1">
        <w:rPr>
          <w:rFonts w:ascii="Arial" w:hAnsi="Arial" w:cs="Arial"/>
          <w:b/>
          <w:sz w:val="22"/>
          <w:szCs w:val="22"/>
          <w:vertAlign w:val="superscript"/>
          <w:lang w:val="es-ES_tradnl"/>
        </w:rPr>
        <w:t>-1</w:t>
      </w:r>
      <w:r w:rsidR="00521493" w:rsidRPr="0022296B">
        <w:rPr>
          <w:rFonts w:ascii="Arial" w:hAnsi="Arial" w:cs="Arial"/>
          <w:sz w:val="22"/>
          <w:szCs w:val="22"/>
          <w:lang w:val="es-ES_tradnl"/>
        </w:rPr>
        <w:t xml:space="preserve"> </w:t>
      </w:r>
      <w:r w:rsidR="001359D6" w:rsidRPr="0022296B">
        <w:rPr>
          <w:rFonts w:ascii="Arial" w:hAnsi="Arial" w:cs="Arial"/>
          <w:sz w:val="22"/>
          <w:szCs w:val="22"/>
          <w:lang w:val="es-ES_tradnl"/>
        </w:rPr>
        <w:t>por sobre lo</w:t>
      </w:r>
      <w:r w:rsidR="00521493" w:rsidRPr="0022296B">
        <w:rPr>
          <w:rFonts w:ascii="Arial" w:hAnsi="Arial" w:cs="Arial"/>
          <w:sz w:val="22"/>
          <w:szCs w:val="22"/>
          <w:lang w:val="es-ES_tradnl"/>
        </w:rPr>
        <w:t xml:space="preserve"> extraído</w:t>
      </w:r>
      <w:r w:rsidR="001359D6" w:rsidRPr="0022296B">
        <w:rPr>
          <w:rFonts w:ascii="Arial" w:hAnsi="Arial" w:cs="Arial"/>
          <w:sz w:val="22"/>
          <w:szCs w:val="22"/>
          <w:lang w:val="es-ES_tradnl"/>
        </w:rPr>
        <w:t xml:space="preserve"> por cosecha</w:t>
      </w:r>
      <w:r w:rsidR="00521493" w:rsidRPr="0022296B">
        <w:rPr>
          <w:rFonts w:ascii="Arial" w:hAnsi="Arial" w:cs="Arial"/>
          <w:sz w:val="22"/>
          <w:szCs w:val="22"/>
          <w:lang w:val="es-ES_tradnl"/>
        </w:rPr>
        <w:t xml:space="preserve">, el nivel de P en suelo </w:t>
      </w:r>
      <w:r w:rsidR="00E05640">
        <w:rPr>
          <w:rFonts w:ascii="Arial" w:hAnsi="Arial" w:cs="Arial"/>
          <w:sz w:val="22"/>
          <w:szCs w:val="22"/>
          <w:lang w:val="es-ES_tradnl"/>
        </w:rPr>
        <w:t>aumentaría</w:t>
      </w:r>
      <w:r w:rsidR="00521493" w:rsidRPr="0022296B">
        <w:rPr>
          <w:rFonts w:ascii="Arial" w:hAnsi="Arial" w:cs="Arial"/>
          <w:sz w:val="22"/>
          <w:szCs w:val="22"/>
          <w:lang w:val="es-ES_tradnl"/>
        </w:rPr>
        <w:t xml:space="preserve"> en una </w:t>
      </w:r>
      <w:r w:rsidRPr="0022296B">
        <w:rPr>
          <w:rFonts w:ascii="Arial" w:hAnsi="Arial" w:cs="Arial"/>
          <w:sz w:val="22"/>
          <w:szCs w:val="22"/>
          <w:lang w:val="es-ES_tradnl"/>
        </w:rPr>
        <w:t xml:space="preserve">unidad. </w:t>
      </w:r>
      <w:r w:rsidR="00E05640">
        <w:rPr>
          <w:rFonts w:ascii="Arial" w:hAnsi="Arial" w:cs="Arial"/>
          <w:sz w:val="22"/>
          <w:szCs w:val="22"/>
          <w:lang w:val="es-ES_tradnl"/>
        </w:rPr>
        <w:t xml:space="preserve">Por el contrario, cuando el balance es negativo actúa el poder buffer del suelo liberando fracciones estables de P hacia formas más lábiles, y por lo tanto amortiguando la tasa de caída. Así, por cada </w:t>
      </w:r>
      <w:r w:rsidR="00AD06E0">
        <w:rPr>
          <w:rFonts w:ascii="Arial" w:hAnsi="Arial" w:cs="Arial"/>
          <w:b/>
          <w:sz w:val="22"/>
          <w:szCs w:val="22"/>
          <w:lang w:val="es-ES_tradnl"/>
        </w:rPr>
        <w:t>5,5</w:t>
      </w:r>
      <w:r w:rsidR="00E05640" w:rsidRPr="00E05640">
        <w:rPr>
          <w:rFonts w:ascii="Arial" w:hAnsi="Arial" w:cs="Arial"/>
          <w:b/>
          <w:sz w:val="22"/>
          <w:szCs w:val="22"/>
          <w:lang w:val="es-ES_tradnl"/>
        </w:rPr>
        <w:t xml:space="preserve"> kg P ha</w:t>
      </w:r>
      <w:r w:rsidR="00E05640" w:rsidRPr="00E05640">
        <w:rPr>
          <w:rFonts w:ascii="Arial" w:hAnsi="Arial" w:cs="Arial"/>
          <w:b/>
          <w:sz w:val="22"/>
          <w:szCs w:val="22"/>
          <w:vertAlign w:val="superscript"/>
          <w:lang w:val="es-ES_tradnl"/>
        </w:rPr>
        <w:t>-1</w:t>
      </w:r>
      <w:r w:rsidR="00E05640">
        <w:rPr>
          <w:rFonts w:ascii="Arial" w:hAnsi="Arial" w:cs="Arial"/>
          <w:sz w:val="22"/>
          <w:szCs w:val="22"/>
          <w:lang w:val="es-ES_tradnl"/>
        </w:rPr>
        <w:t xml:space="preserve"> de balance negativo su nivel en el suelo disminuiría en 1 mg kg</w:t>
      </w:r>
      <w:r w:rsidR="00E05640" w:rsidRPr="00E05640">
        <w:rPr>
          <w:rFonts w:ascii="Arial" w:hAnsi="Arial" w:cs="Arial"/>
          <w:sz w:val="22"/>
          <w:szCs w:val="22"/>
          <w:vertAlign w:val="superscript"/>
          <w:lang w:val="es-ES_tradnl"/>
        </w:rPr>
        <w:t>-1</w:t>
      </w:r>
      <w:r w:rsidR="00E05640">
        <w:rPr>
          <w:rFonts w:ascii="Arial" w:hAnsi="Arial" w:cs="Arial"/>
          <w:sz w:val="22"/>
          <w:szCs w:val="22"/>
          <w:lang w:val="es-ES_tradnl"/>
        </w:rPr>
        <w:t xml:space="preserve"> </w:t>
      </w:r>
      <w:r w:rsidR="00E05640" w:rsidRPr="00E05640">
        <w:rPr>
          <w:rFonts w:ascii="Arial" w:hAnsi="Arial" w:cs="Arial"/>
          <w:b/>
          <w:sz w:val="22"/>
          <w:szCs w:val="22"/>
          <w:lang w:val="es-ES_tradnl"/>
        </w:rPr>
        <w:t>(Figura 4)</w:t>
      </w:r>
      <w:r w:rsidR="00E05640">
        <w:rPr>
          <w:rFonts w:ascii="Arial" w:hAnsi="Arial" w:cs="Arial"/>
          <w:sz w:val="22"/>
          <w:szCs w:val="22"/>
          <w:lang w:val="es-ES_tradnl"/>
        </w:rPr>
        <w:t xml:space="preserve">. </w:t>
      </w:r>
      <w:r w:rsidR="00521493" w:rsidRPr="0022296B">
        <w:rPr>
          <w:rFonts w:ascii="Arial" w:hAnsi="Arial" w:cs="Arial"/>
          <w:sz w:val="22"/>
          <w:szCs w:val="22"/>
          <w:lang w:val="es-ES_tradnl"/>
        </w:rPr>
        <w:t xml:space="preserve">Esta tasa de cambio </w:t>
      </w:r>
      <w:r w:rsidR="00440D37" w:rsidRPr="0022296B">
        <w:rPr>
          <w:rFonts w:ascii="Arial" w:hAnsi="Arial" w:cs="Arial"/>
          <w:sz w:val="22"/>
          <w:szCs w:val="22"/>
          <w:lang w:val="es-ES_tradnl"/>
        </w:rPr>
        <w:t xml:space="preserve">ha </w:t>
      </w:r>
      <w:r w:rsidR="00AD06E0">
        <w:rPr>
          <w:rFonts w:ascii="Arial" w:hAnsi="Arial" w:cs="Arial"/>
          <w:sz w:val="22"/>
          <w:szCs w:val="22"/>
          <w:lang w:val="es-ES_tradnl"/>
        </w:rPr>
        <w:t>variado sus</w:t>
      </w:r>
      <w:r w:rsidR="001A6D85">
        <w:rPr>
          <w:rFonts w:ascii="Arial" w:hAnsi="Arial" w:cs="Arial"/>
          <w:sz w:val="22"/>
          <w:szCs w:val="22"/>
          <w:lang w:val="es-ES_tradnl"/>
        </w:rPr>
        <w:t xml:space="preserve">tancialmente con el tiempo, </w:t>
      </w:r>
      <w:r w:rsidR="00AD06E0">
        <w:rPr>
          <w:rFonts w:ascii="Arial" w:hAnsi="Arial" w:cs="Arial"/>
          <w:sz w:val="22"/>
          <w:szCs w:val="22"/>
          <w:lang w:val="es-ES_tradnl"/>
        </w:rPr>
        <w:t xml:space="preserve">disminuyendo </w:t>
      </w:r>
      <w:r w:rsidR="001A6D85">
        <w:rPr>
          <w:rFonts w:ascii="Arial" w:hAnsi="Arial" w:cs="Arial"/>
          <w:sz w:val="22"/>
          <w:szCs w:val="22"/>
          <w:lang w:val="es-ES_tradnl"/>
        </w:rPr>
        <w:t xml:space="preserve">especialmente </w:t>
      </w:r>
      <w:r w:rsidR="00440D37" w:rsidRPr="0022296B">
        <w:rPr>
          <w:rFonts w:ascii="Arial" w:hAnsi="Arial" w:cs="Arial"/>
          <w:sz w:val="22"/>
          <w:szCs w:val="22"/>
          <w:lang w:val="es-ES_tradnl"/>
        </w:rPr>
        <w:t>en los últimos años, luego de alcanzar un máximo de 11</w:t>
      </w:r>
      <w:r w:rsidR="001B2AD8" w:rsidRPr="0022296B">
        <w:rPr>
          <w:rFonts w:ascii="Arial" w:hAnsi="Arial" w:cs="Arial"/>
          <w:sz w:val="22"/>
          <w:szCs w:val="22"/>
          <w:lang w:val="es-ES_tradnl"/>
        </w:rPr>
        <w:t>.</w:t>
      </w:r>
      <w:r w:rsidR="00440D37" w:rsidRPr="0022296B">
        <w:rPr>
          <w:rFonts w:ascii="Arial" w:hAnsi="Arial" w:cs="Arial"/>
          <w:sz w:val="22"/>
          <w:szCs w:val="22"/>
          <w:lang w:val="es-ES_tradnl"/>
        </w:rPr>
        <w:t xml:space="preserve">9 </w:t>
      </w:r>
      <w:r w:rsidR="00521493" w:rsidRPr="0022296B">
        <w:rPr>
          <w:rFonts w:ascii="Arial" w:hAnsi="Arial" w:cs="Arial"/>
          <w:sz w:val="22"/>
          <w:szCs w:val="22"/>
          <w:lang w:val="es-ES_tradnl"/>
        </w:rPr>
        <w:t>kg</w:t>
      </w:r>
      <w:r w:rsidRPr="0022296B">
        <w:rPr>
          <w:rFonts w:ascii="Arial" w:hAnsi="Arial" w:cs="Arial"/>
          <w:sz w:val="22"/>
          <w:szCs w:val="22"/>
          <w:lang w:val="es-ES_tradnl"/>
        </w:rPr>
        <w:t xml:space="preserve"> </w:t>
      </w:r>
      <w:r w:rsidR="00521493" w:rsidRPr="0022296B">
        <w:rPr>
          <w:rFonts w:ascii="Arial" w:hAnsi="Arial" w:cs="Arial"/>
          <w:sz w:val="22"/>
          <w:szCs w:val="22"/>
          <w:lang w:val="es-ES_tradnl"/>
        </w:rPr>
        <w:t>P ha</w:t>
      </w:r>
      <w:r w:rsidR="00521493" w:rsidRPr="0022296B">
        <w:rPr>
          <w:rFonts w:ascii="Arial" w:hAnsi="Arial" w:cs="Arial"/>
          <w:sz w:val="22"/>
          <w:szCs w:val="22"/>
          <w:vertAlign w:val="superscript"/>
          <w:lang w:val="es-ES_tradnl"/>
        </w:rPr>
        <w:t>-1</w:t>
      </w:r>
      <w:r w:rsidR="00440D37" w:rsidRPr="0022296B">
        <w:rPr>
          <w:rFonts w:ascii="Arial" w:hAnsi="Arial" w:cs="Arial"/>
          <w:sz w:val="22"/>
          <w:szCs w:val="22"/>
          <w:lang w:val="es-ES_tradnl"/>
        </w:rPr>
        <w:t xml:space="preserve"> en 2009, </w:t>
      </w:r>
      <w:r w:rsidR="007F306E">
        <w:rPr>
          <w:rFonts w:ascii="Arial" w:hAnsi="Arial" w:cs="Arial"/>
          <w:sz w:val="22"/>
          <w:szCs w:val="22"/>
          <w:lang w:val="es-ES_tradnl"/>
        </w:rPr>
        <w:t>después</w:t>
      </w:r>
      <w:r w:rsidR="00440D37" w:rsidRPr="0022296B">
        <w:rPr>
          <w:rFonts w:ascii="Arial" w:hAnsi="Arial" w:cs="Arial"/>
          <w:sz w:val="22"/>
          <w:szCs w:val="22"/>
          <w:lang w:val="es-ES_tradnl"/>
        </w:rPr>
        <w:t xml:space="preserve"> del tercer año de ensayo. Es probable que la acumulación de fracciones lábiles de P sature cargas positivas y disminuya así la </w:t>
      </w:r>
      <w:r w:rsidRPr="0022296B">
        <w:rPr>
          <w:rFonts w:ascii="Arial" w:hAnsi="Arial" w:cs="Arial"/>
          <w:sz w:val="22"/>
          <w:szCs w:val="22"/>
          <w:lang w:val="es-ES_tradnl"/>
        </w:rPr>
        <w:t>retención/</w:t>
      </w:r>
      <w:r w:rsidR="00440D37" w:rsidRPr="0022296B">
        <w:rPr>
          <w:rFonts w:ascii="Arial" w:hAnsi="Arial" w:cs="Arial"/>
          <w:sz w:val="22"/>
          <w:szCs w:val="22"/>
          <w:lang w:val="es-ES_tradnl"/>
        </w:rPr>
        <w:t xml:space="preserve">fijación del </w:t>
      </w:r>
      <w:r w:rsidRPr="0022296B">
        <w:rPr>
          <w:rFonts w:ascii="Arial" w:hAnsi="Arial" w:cs="Arial"/>
          <w:sz w:val="22"/>
          <w:szCs w:val="22"/>
          <w:lang w:val="es-ES_tradnl"/>
        </w:rPr>
        <w:t xml:space="preserve">P </w:t>
      </w:r>
      <w:r w:rsidR="00440D37" w:rsidRPr="0022296B">
        <w:rPr>
          <w:rFonts w:ascii="Arial" w:hAnsi="Arial" w:cs="Arial"/>
          <w:sz w:val="22"/>
          <w:szCs w:val="22"/>
          <w:lang w:val="es-ES_tradnl"/>
        </w:rPr>
        <w:t xml:space="preserve">aportado mediante fertilización, permitiendo ganancias de P marcadas en las estrategias ubicadas en el lado positivo del balance. </w:t>
      </w:r>
      <w:r w:rsidR="00C4605A" w:rsidRPr="0022296B">
        <w:rPr>
          <w:rFonts w:ascii="Arial" w:hAnsi="Arial" w:cs="Arial"/>
          <w:sz w:val="22"/>
          <w:szCs w:val="22"/>
          <w:lang w:val="es-ES_tradnl"/>
        </w:rPr>
        <w:t xml:space="preserve">En otros experimentos fue observado un rango de variación relativamente estable a lo largo del tiempo </w:t>
      </w:r>
      <w:r w:rsidR="00A12F0C" w:rsidRPr="0022296B">
        <w:rPr>
          <w:rFonts w:ascii="Arial" w:hAnsi="Arial" w:cs="Arial"/>
          <w:sz w:val="22"/>
          <w:szCs w:val="22"/>
          <w:lang w:val="es-ES_tradnl"/>
        </w:rPr>
        <w:t>(</w:t>
      </w:r>
      <w:proofErr w:type="spellStart"/>
      <w:r w:rsidR="00A12F0C" w:rsidRPr="0022296B">
        <w:rPr>
          <w:rFonts w:ascii="Arial" w:hAnsi="Arial" w:cs="Arial"/>
          <w:sz w:val="22"/>
          <w:szCs w:val="22"/>
          <w:lang w:val="es-ES_tradnl"/>
        </w:rPr>
        <w:t>Messiga</w:t>
      </w:r>
      <w:proofErr w:type="spellEnd"/>
      <w:r w:rsidR="00A12F0C" w:rsidRPr="0022296B">
        <w:rPr>
          <w:rFonts w:ascii="Arial" w:hAnsi="Arial" w:cs="Arial"/>
          <w:sz w:val="22"/>
          <w:szCs w:val="22"/>
          <w:lang w:val="es-ES_tradnl"/>
        </w:rPr>
        <w:t xml:space="preserve"> et al., </w:t>
      </w:r>
      <w:r w:rsidR="00C4605A" w:rsidRPr="0022296B">
        <w:rPr>
          <w:rFonts w:ascii="Arial" w:hAnsi="Arial" w:cs="Arial"/>
          <w:sz w:val="22"/>
          <w:szCs w:val="22"/>
          <w:lang w:val="es-ES_tradnl"/>
        </w:rPr>
        <w:t xml:space="preserve">2010). </w:t>
      </w:r>
      <w:r w:rsidR="000E30C5" w:rsidRPr="0022296B">
        <w:rPr>
          <w:rFonts w:ascii="Arial" w:hAnsi="Arial" w:cs="Arial"/>
          <w:sz w:val="22"/>
          <w:szCs w:val="22"/>
          <w:lang w:val="es-ES_tradnl"/>
        </w:rPr>
        <w:t xml:space="preserve">En algunos casos, particularmente provenientes de los años 2012, </w:t>
      </w:r>
      <w:r w:rsidR="000E30C5" w:rsidRPr="0022296B">
        <w:rPr>
          <w:rFonts w:ascii="Arial" w:hAnsi="Arial" w:cs="Arial"/>
          <w:sz w:val="22"/>
          <w:szCs w:val="22"/>
          <w:lang w:val="es-ES_tradnl"/>
        </w:rPr>
        <w:lastRenderedPageBreak/>
        <w:t>2013</w:t>
      </w:r>
      <w:r w:rsidR="001A6D85">
        <w:rPr>
          <w:rFonts w:ascii="Arial" w:hAnsi="Arial" w:cs="Arial"/>
          <w:sz w:val="22"/>
          <w:szCs w:val="22"/>
          <w:lang w:val="es-ES_tradnl"/>
        </w:rPr>
        <w:t>, 2015</w:t>
      </w:r>
      <w:r w:rsidR="000E30C5" w:rsidRPr="0022296B">
        <w:rPr>
          <w:rFonts w:ascii="Arial" w:hAnsi="Arial" w:cs="Arial"/>
          <w:sz w:val="22"/>
          <w:szCs w:val="22"/>
          <w:lang w:val="es-ES_tradnl"/>
        </w:rPr>
        <w:t xml:space="preserve"> y en menor medida 2014, </w:t>
      </w:r>
      <w:r w:rsidR="00440D37" w:rsidRPr="0022296B">
        <w:rPr>
          <w:rFonts w:ascii="Arial" w:hAnsi="Arial" w:cs="Arial"/>
          <w:sz w:val="22"/>
          <w:szCs w:val="22"/>
          <w:lang w:val="es-ES_tradnl"/>
        </w:rPr>
        <w:t xml:space="preserve">pareciera </w:t>
      </w:r>
      <w:r w:rsidR="000E30C5" w:rsidRPr="0022296B">
        <w:rPr>
          <w:rFonts w:ascii="Arial" w:hAnsi="Arial" w:cs="Arial"/>
          <w:sz w:val="22"/>
          <w:szCs w:val="22"/>
          <w:lang w:val="es-ES_tradnl"/>
        </w:rPr>
        <w:t xml:space="preserve">dividirse la pendiente, </w:t>
      </w:r>
      <w:r w:rsidR="00440D37" w:rsidRPr="0022296B">
        <w:rPr>
          <w:rFonts w:ascii="Arial" w:hAnsi="Arial" w:cs="Arial"/>
          <w:sz w:val="22"/>
          <w:szCs w:val="22"/>
          <w:lang w:val="es-ES_tradnl"/>
        </w:rPr>
        <w:t>siendo de m</w:t>
      </w:r>
      <w:r w:rsidR="00FD6528" w:rsidRPr="0022296B">
        <w:rPr>
          <w:rFonts w:ascii="Arial" w:hAnsi="Arial" w:cs="Arial"/>
          <w:sz w:val="22"/>
          <w:szCs w:val="22"/>
          <w:lang w:val="es-ES_tradnl"/>
        </w:rPr>
        <w:t>en</w:t>
      </w:r>
      <w:r w:rsidR="00440D37" w:rsidRPr="0022296B">
        <w:rPr>
          <w:rFonts w:ascii="Arial" w:hAnsi="Arial" w:cs="Arial"/>
          <w:sz w:val="22"/>
          <w:szCs w:val="22"/>
          <w:lang w:val="es-ES_tradnl"/>
        </w:rPr>
        <w:t xml:space="preserve">or magnitud </w:t>
      </w:r>
      <w:r w:rsidR="007F306E">
        <w:rPr>
          <w:rFonts w:ascii="Arial" w:hAnsi="Arial" w:cs="Arial"/>
          <w:sz w:val="22"/>
          <w:szCs w:val="22"/>
          <w:lang w:val="es-ES_tradnl"/>
        </w:rPr>
        <w:t xml:space="preserve">y mayor dispersión </w:t>
      </w:r>
      <w:r w:rsidR="00440D37" w:rsidRPr="0022296B">
        <w:rPr>
          <w:rFonts w:ascii="Arial" w:hAnsi="Arial" w:cs="Arial"/>
          <w:sz w:val="22"/>
          <w:szCs w:val="22"/>
          <w:lang w:val="es-ES_tradnl"/>
        </w:rPr>
        <w:t xml:space="preserve">en los procesos de ganancia </w:t>
      </w:r>
      <w:r w:rsidR="0073437D" w:rsidRPr="0022296B">
        <w:rPr>
          <w:rFonts w:ascii="Arial" w:hAnsi="Arial" w:cs="Arial"/>
          <w:sz w:val="22"/>
          <w:szCs w:val="22"/>
          <w:lang w:val="es-ES_tradnl"/>
        </w:rPr>
        <w:t>de P que en los de pérdida</w:t>
      </w:r>
      <w:r w:rsidR="000E30C5" w:rsidRPr="0022296B">
        <w:rPr>
          <w:rFonts w:ascii="Arial" w:hAnsi="Arial" w:cs="Arial"/>
          <w:sz w:val="22"/>
          <w:szCs w:val="22"/>
          <w:lang w:val="es-ES_tradnl"/>
        </w:rPr>
        <w:t>. Este comportamiento dual fue observado</w:t>
      </w:r>
      <w:r w:rsidR="0073437D" w:rsidRPr="0022296B">
        <w:rPr>
          <w:rFonts w:ascii="Arial" w:hAnsi="Arial" w:cs="Arial"/>
          <w:sz w:val="22"/>
          <w:szCs w:val="22"/>
          <w:lang w:val="es-ES_tradnl"/>
        </w:rPr>
        <w:t xml:space="preserve"> por </w:t>
      </w:r>
      <w:proofErr w:type="spellStart"/>
      <w:r w:rsidR="0073437D" w:rsidRPr="0022296B">
        <w:rPr>
          <w:rFonts w:ascii="Arial" w:hAnsi="Arial" w:cs="Arial"/>
          <w:sz w:val="22"/>
          <w:szCs w:val="22"/>
          <w:lang w:val="es-ES_tradnl"/>
        </w:rPr>
        <w:t>Ciampitti</w:t>
      </w:r>
      <w:proofErr w:type="spellEnd"/>
      <w:r w:rsidR="0073437D" w:rsidRPr="0022296B">
        <w:rPr>
          <w:rFonts w:ascii="Arial" w:hAnsi="Arial" w:cs="Arial"/>
          <w:sz w:val="22"/>
          <w:szCs w:val="22"/>
          <w:lang w:val="es-ES_tradnl"/>
        </w:rPr>
        <w:t xml:space="preserve"> (2009), </w:t>
      </w:r>
      <w:r w:rsidR="00DE2276" w:rsidRPr="0022296B">
        <w:rPr>
          <w:rFonts w:ascii="Arial" w:hAnsi="Arial" w:cs="Arial"/>
          <w:sz w:val="22"/>
          <w:szCs w:val="22"/>
          <w:lang w:val="es-ES_tradnl"/>
        </w:rPr>
        <w:t>a partir de</w:t>
      </w:r>
      <w:r w:rsidR="0073437D" w:rsidRPr="0022296B">
        <w:rPr>
          <w:rFonts w:ascii="Arial" w:hAnsi="Arial" w:cs="Arial"/>
          <w:sz w:val="22"/>
          <w:szCs w:val="22"/>
          <w:lang w:val="es-ES_tradnl"/>
        </w:rPr>
        <w:t xml:space="preserve"> ensayos conducidos en el sur de Santa Fe, sobre suelos similares a los de este sitio experimental.</w:t>
      </w:r>
      <w:r w:rsidR="00C80680" w:rsidRPr="0022296B">
        <w:rPr>
          <w:rFonts w:ascii="Arial" w:hAnsi="Arial" w:cs="Arial"/>
          <w:sz w:val="22"/>
          <w:szCs w:val="22"/>
          <w:lang w:val="es-ES_tradnl"/>
        </w:rPr>
        <w:t xml:space="preserve"> </w:t>
      </w:r>
    </w:p>
    <w:p w:rsidR="000E08C7" w:rsidRPr="0022296B" w:rsidRDefault="00836E34" w:rsidP="00FD706A">
      <w:pPr>
        <w:jc w:val="center"/>
        <w:rPr>
          <w:rFonts w:ascii="Arial" w:hAnsi="Arial" w:cs="Arial"/>
          <w:sz w:val="22"/>
          <w:szCs w:val="22"/>
          <w:lang w:val="es-ES_tradnl"/>
        </w:rPr>
      </w:pPr>
      <w:r w:rsidRPr="00836E34">
        <w:rPr>
          <w:rFonts w:ascii="Arial" w:hAnsi="Arial" w:cs="Arial"/>
          <w:noProof/>
          <w:sz w:val="22"/>
          <w:szCs w:val="22"/>
        </w:rPr>
        <w:drawing>
          <wp:inline distT="0" distB="0" distL="0" distR="0" wp14:anchorId="2AE6FB98" wp14:editId="19D23974">
            <wp:extent cx="6359525" cy="3970020"/>
            <wp:effectExtent l="0" t="0" r="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85406" w:rsidRPr="0022296B" w:rsidRDefault="00EF3E2E" w:rsidP="00FD706A">
      <w:pPr>
        <w:jc w:val="both"/>
        <w:rPr>
          <w:rFonts w:ascii="Arial" w:hAnsi="Arial" w:cs="Arial"/>
          <w:sz w:val="20"/>
          <w:szCs w:val="22"/>
          <w:lang w:val="es-ES_tradnl"/>
        </w:rPr>
      </w:pPr>
      <w:r w:rsidRPr="0022296B">
        <w:rPr>
          <w:rFonts w:ascii="Arial" w:hAnsi="Arial" w:cs="Arial"/>
          <w:b/>
          <w:sz w:val="20"/>
          <w:szCs w:val="22"/>
          <w:lang w:val="es-ES_tradnl"/>
        </w:rPr>
        <w:t xml:space="preserve">Figura </w:t>
      </w:r>
      <w:r w:rsidR="00005B9C" w:rsidRPr="0022296B">
        <w:rPr>
          <w:rFonts w:ascii="Arial" w:hAnsi="Arial" w:cs="Arial"/>
          <w:b/>
          <w:sz w:val="20"/>
          <w:szCs w:val="22"/>
          <w:lang w:val="es-ES_tradnl"/>
        </w:rPr>
        <w:t>4</w:t>
      </w:r>
      <w:r w:rsidR="00F67DBE" w:rsidRPr="0022296B">
        <w:rPr>
          <w:rFonts w:ascii="Arial" w:hAnsi="Arial" w:cs="Arial"/>
          <w:b/>
          <w:sz w:val="20"/>
          <w:szCs w:val="22"/>
          <w:lang w:val="es-ES_tradnl"/>
        </w:rPr>
        <w:t>.</w:t>
      </w:r>
      <w:r w:rsidRPr="0022296B">
        <w:rPr>
          <w:rFonts w:ascii="Arial" w:hAnsi="Arial" w:cs="Arial"/>
          <w:sz w:val="20"/>
          <w:szCs w:val="22"/>
          <w:lang w:val="es-ES_tradnl"/>
        </w:rPr>
        <w:t xml:space="preserve"> Relación entre el nivel de P </w:t>
      </w:r>
      <w:r w:rsidR="008D2D80" w:rsidRPr="0022296B">
        <w:rPr>
          <w:rFonts w:ascii="Arial" w:hAnsi="Arial" w:cs="Arial"/>
          <w:sz w:val="20"/>
          <w:szCs w:val="22"/>
          <w:lang w:val="es-ES_tradnl"/>
        </w:rPr>
        <w:t xml:space="preserve">extractable </w:t>
      </w:r>
      <w:r w:rsidRPr="0022296B">
        <w:rPr>
          <w:rFonts w:ascii="Arial" w:hAnsi="Arial" w:cs="Arial"/>
          <w:sz w:val="20"/>
          <w:szCs w:val="22"/>
          <w:lang w:val="es-ES_tradnl"/>
        </w:rPr>
        <w:t>en suelo a cosecha (</w:t>
      </w:r>
      <w:r w:rsidR="008D2D80" w:rsidRPr="0022296B">
        <w:rPr>
          <w:rFonts w:ascii="Arial" w:hAnsi="Arial" w:cs="Arial"/>
          <w:sz w:val="20"/>
          <w:szCs w:val="22"/>
          <w:lang w:val="es-ES_tradnl"/>
        </w:rPr>
        <w:t xml:space="preserve">0-20 cm, </w:t>
      </w:r>
      <w:r w:rsidRPr="0022296B">
        <w:rPr>
          <w:rFonts w:ascii="Arial" w:hAnsi="Arial" w:cs="Arial"/>
          <w:sz w:val="20"/>
          <w:szCs w:val="22"/>
          <w:lang w:val="es-ES_tradnl"/>
        </w:rPr>
        <w:t>mg kg</w:t>
      </w:r>
      <w:r w:rsidRPr="0022296B">
        <w:rPr>
          <w:rFonts w:ascii="Arial" w:hAnsi="Arial" w:cs="Arial"/>
          <w:sz w:val="20"/>
          <w:szCs w:val="22"/>
          <w:vertAlign w:val="superscript"/>
          <w:lang w:val="es-ES_tradnl"/>
        </w:rPr>
        <w:t>-1</w:t>
      </w:r>
      <w:r w:rsidRPr="0022296B">
        <w:rPr>
          <w:rFonts w:ascii="Arial" w:hAnsi="Arial" w:cs="Arial"/>
          <w:sz w:val="20"/>
          <w:szCs w:val="22"/>
          <w:lang w:val="es-ES_tradnl"/>
        </w:rPr>
        <w:t xml:space="preserve">) luego de </w:t>
      </w:r>
      <w:r w:rsidR="001764F5">
        <w:rPr>
          <w:rFonts w:ascii="Arial" w:hAnsi="Arial" w:cs="Arial"/>
          <w:sz w:val="20"/>
          <w:szCs w:val="22"/>
          <w:lang w:val="es-ES_tradnl"/>
        </w:rPr>
        <w:t>trece</w:t>
      </w:r>
      <w:r w:rsidR="0045173B" w:rsidRPr="0022296B">
        <w:rPr>
          <w:rFonts w:ascii="Arial" w:hAnsi="Arial" w:cs="Arial"/>
          <w:sz w:val="20"/>
          <w:szCs w:val="22"/>
          <w:lang w:val="es-ES_tradnl"/>
        </w:rPr>
        <w:t xml:space="preserve"> </w:t>
      </w:r>
      <w:r w:rsidRPr="0022296B">
        <w:rPr>
          <w:rFonts w:ascii="Arial" w:hAnsi="Arial" w:cs="Arial"/>
          <w:sz w:val="20"/>
          <w:szCs w:val="22"/>
          <w:lang w:val="es-ES_tradnl"/>
        </w:rPr>
        <w:t>años</w:t>
      </w:r>
      <w:r w:rsidR="001764F5">
        <w:rPr>
          <w:rFonts w:ascii="Arial" w:hAnsi="Arial" w:cs="Arial"/>
          <w:sz w:val="20"/>
          <w:szCs w:val="22"/>
          <w:lang w:val="es-ES_tradnl"/>
        </w:rPr>
        <w:t>,</w:t>
      </w:r>
      <w:r w:rsidRPr="0022296B">
        <w:rPr>
          <w:rFonts w:ascii="Arial" w:hAnsi="Arial" w:cs="Arial"/>
          <w:sz w:val="20"/>
          <w:szCs w:val="22"/>
          <w:lang w:val="es-ES_tradnl"/>
        </w:rPr>
        <w:t xml:space="preserve"> y el balance de P (aplicado-extraído en kg ha</w:t>
      </w:r>
      <w:r w:rsidRPr="0022296B">
        <w:rPr>
          <w:rFonts w:ascii="Arial" w:hAnsi="Arial" w:cs="Arial"/>
          <w:sz w:val="20"/>
          <w:szCs w:val="22"/>
          <w:vertAlign w:val="superscript"/>
          <w:lang w:val="es-ES_tradnl"/>
        </w:rPr>
        <w:t>-1</w:t>
      </w:r>
      <w:r w:rsidRPr="0022296B">
        <w:rPr>
          <w:rFonts w:ascii="Arial" w:hAnsi="Arial" w:cs="Arial"/>
          <w:sz w:val="20"/>
          <w:szCs w:val="22"/>
          <w:lang w:val="es-ES_tradnl"/>
        </w:rPr>
        <w:t xml:space="preserve">) </w:t>
      </w:r>
      <w:r w:rsidR="00185406" w:rsidRPr="0022296B">
        <w:rPr>
          <w:rFonts w:ascii="Arial" w:hAnsi="Arial" w:cs="Arial"/>
          <w:sz w:val="20"/>
          <w:szCs w:val="22"/>
          <w:lang w:val="es-ES_tradnl"/>
        </w:rPr>
        <w:t>determinado en cada tratamiento. Campaña</w:t>
      </w:r>
      <w:r w:rsidR="00DE2276" w:rsidRPr="0022296B">
        <w:rPr>
          <w:rFonts w:ascii="Arial" w:hAnsi="Arial" w:cs="Arial"/>
          <w:sz w:val="20"/>
          <w:szCs w:val="22"/>
          <w:lang w:val="es-ES_tradnl"/>
        </w:rPr>
        <w:t>s 2006/07 a 201</w:t>
      </w:r>
      <w:r w:rsidR="00836E34">
        <w:rPr>
          <w:rFonts w:ascii="Arial" w:hAnsi="Arial" w:cs="Arial"/>
          <w:sz w:val="20"/>
          <w:szCs w:val="22"/>
          <w:lang w:val="es-ES_tradnl"/>
        </w:rPr>
        <w:t>8</w:t>
      </w:r>
      <w:r w:rsidR="00DE2276" w:rsidRPr="0022296B">
        <w:rPr>
          <w:rFonts w:ascii="Arial" w:hAnsi="Arial" w:cs="Arial"/>
          <w:sz w:val="20"/>
          <w:szCs w:val="22"/>
          <w:lang w:val="es-ES_tradnl"/>
        </w:rPr>
        <w:t>/1</w:t>
      </w:r>
      <w:r w:rsidR="00836E34">
        <w:rPr>
          <w:rFonts w:ascii="Arial" w:hAnsi="Arial" w:cs="Arial"/>
          <w:sz w:val="20"/>
          <w:szCs w:val="22"/>
          <w:lang w:val="es-ES_tradnl"/>
        </w:rPr>
        <w:t>9</w:t>
      </w:r>
      <w:r w:rsidR="00DE2276" w:rsidRPr="0022296B">
        <w:rPr>
          <w:rFonts w:ascii="Arial" w:hAnsi="Arial" w:cs="Arial"/>
          <w:sz w:val="20"/>
          <w:szCs w:val="22"/>
          <w:lang w:val="es-ES_tradnl"/>
        </w:rPr>
        <w:t>.</w:t>
      </w:r>
      <w:r w:rsidR="008D2D80" w:rsidRPr="0022296B">
        <w:rPr>
          <w:rFonts w:ascii="Arial" w:hAnsi="Arial" w:cs="Arial"/>
          <w:sz w:val="20"/>
          <w:szCs w:val="22"/>
          <w:lang w:val="es-ES_tradnl"/>
        </w:rPr>
        <w:t xml:space="preserve"> </w:t>
      </w:r>
      <w:r w:rsidR="00FD6528" w:rsidRPr="0022296B">
        <w:rPr>
          <w:rFonts w:ascii="Arial" w:hAnsi="Arial" w:cs="Arial"/>
          <w:sz w:val="20"/>
          <w:szCs w:val="22"/>
          <w:lang w:val="es-ES_tradnl"/>
        </w:rPr>
        <w:t>La inversa de la pendiente indica la cantidad de P que es necesario agregar (o retirar) para variar la concentración de P en suelo en 1 mg kg</w:t>
      </w:r>
      <w:r w:rsidR="00FD6528" w:rsidRPr="0022296B">
        <w:rPr>
          <w:rFonts w:ascii="Arial" w:hAnsi="Arial" w:cs="Arial"/>
          <w:sz w:val="20"/>
          <w:szCs w:val="22"/>
          <w:vertAlign w:val="superscript"/>
          <w:lang w:val="es-ES_tradnl"/>
        </w:rPr>
        <w:t>-1</w:t>
      </w:r>
      <w:r w:rsidR="00FD6528" w:rsidRPr="0022296B">
        <w:rPr>
          <w:rFonts w:ascii="Arial" w:hAnsi="Arial" w:cs="Arial"/>
          <w:sz w:val="20"/>
          <w:szCs w:val="22"/>
          <w:lang w:val="es-ES_tradnl"/>
        </w:rPr>
        <w:t>.</w:t>
      </w:r>
    </w:p>
    <w:p w:rsidR="00FD6528" w:rsidRPr="0022296B" w:rsidRDefault="00FD6528" w:rsidP="00FD706A">
      <w:pPr>
        <w:jc w:val="both"/>
        <w:rPr>
          <w:rFonts w:ascii="Arial" w:hAnsi="Arial" w:cs="Arial"/>
          <w:i/>
          <w:sz w:val="22"/>
          <w:szCs w:val="22"/>
          <w:lang w:val="es-ES_tradnl"/>
        </w:rPr>
      </w:pPr>
    </w:p>
    <w:p w:rsidR="001D0880" w:rsidRPr="0022296B" w:rsidRDefault="001D0880" w:rsidP="00FD706A">
      <w:pPr>
        <w:jc w:val="both"/>
        <w:rPr>
          <w:rFonts w:ascii="Arial" w:hAnsi="Arial" w:cs="Arial"/>
          <w:b/>
          <w:szCs w:val="22"/>
          <w:lang w:val="es-ES_tradnl"/>
        </w:rPr>
      </w:pPr>
      <w:r w:rsidRPr="0022296B">
        <w:rPr>
          <w:rFonts w:ascii="Arial" w:hAnsi="Arial" w:cs="Arial"/>
          <w:b/>
          <w:szCs w:val="22"/>
          <w:lang w:val="es-ES_tradnl"/>
        </w:rPr>
        <w:t xml:space="preserve">Eficiencia de recuperación de P según cultivo y estrategia de fertilización </w:t>
      </w:r>
    </w:p>
    <w:p w:rsidR="001D0880" w:rsidRPr="0022296B" w:rsidRDefault="00C91C65" w:rsidP="00FD706A">
      <w:pPr>
        <w:jc w:val="both"/>
        <w:rPr>
          <w:rFonts w:ascii="Arial" w:hAnsi="Arial" w:cs="Arial"/>
          <w:sz w:val="22"/>
          <w:szCs w:val="22"/>
          <w:lang w:val="es-ES_tradnl"/>
        </w:rPr>
      </w:pPr>
      <w:r w:rsidRPr="0022296B">
        <w:rPr>
          <w:rFonts w:ascii="Arial" w:hAnsi="Arial" w:cs="Arial"/>
          <w:sz w:val="22"/>
          <w:szCs w:val="22"/>
          <w:lang w:val="es-ES_tradnl"/>
        </w:rPr>
        <w:t xml:space="preserve">En función de </w:t>
      </w:r>
      <w:r w:rsidR="00816069" w:rsidRPr="0022296B">
        <w:rPr>
          <w:rFonts w:ascii="Arial" w:hAnsi="Arial" w:cs="Arial"/>
          <w:sz w:val="22"/>
          <w:szCs w:val="22"/>
          <w:lang w:val="es-ES_tradnl"/>
        </w:rPr>
        <w:t>la dosis de P aplicada, los rendimientos y la concentración de P en grano se calcul</w:t>
      </w:r>
      <w:r w:rsidRPr="0022296B">
        <w:rPr>
          <w:rFonts w:ascii="Arial" w:hAnsi="Arial" w:cs="Arial"/>
          <w:sz w:val="22"/>
          <w:szCs w:val="22"/>
          <w:lang w:val="es-ES_tradnl"/>
        </w:rPr>
        <w:t>ó</w:t>
      </w:r>
      <w:r w:rsidR="00816069" w:rsidRPr="0022296B">
        <w:rPr>
          <w:rFonts w:ascii="Arial" w:hAnsi="Arial" w:cs="Arial"/>
          <w:sz w:val="22"/>
          <w:szCs w:val="22"/>
          <w:lang w:val="es-ES_tradnl"/>
        </w:rPr>
        <w:t xml:space="preserve"> la eficiencia de recuperación del fertilizante aplicado. Para </w:t>
      </w:r>
      <w:r w:rsidRPr="0022296B">
        <w:rPr>
          <w:rFonts w:ascii="Arial" w:hAnsi="Arial" w:cs="Arial"/>
          <w:sz w:val="22"/>
          <w:szCs w:val="22"/>
          <w:lang w:val="es-ES_tradnl"/>
        </w:rPr>
        <w:t>ello se transformaron</w:t>
      </w:r>
      <w:r w:rsidR="00A24F8E" w:rsidRPr="0022296B">
        <w:rPr>
          <w:rFonts w:ascii="Arial" w:hAnsi="Arial" w:cs="Arial"/>
          <w:sz w:val="22"/>
          <w:szCs w:val="22"/>
          <w:lang w:val="es-ES_tradnl"/>
        </w:rPr>
        <w:t xml:space="preserve"> </w:t>
      </w:r>
      <w:r w:rsidRPr="0022296B">
        <w:rPr>
          <w:rFonts w:ascii="Arial" w:hAnsi="Arial" w:cs="Arial"/>
          <w:sz w:val="22"/>
          <w:szCs w:val="22"/>
          <w:lang w:val="es-ES_tradnl"/>
        </w:rPr>
        <w:t>los</w:t>
      </w:r>
      <w:r w:rsidR="00816069" w:rsidRPr="0022296B">
        <w:rPr>
          <w:rFonts w:ascii="Arial" w:hAnsi="Arial" w:cs="Arial"/>
          <w:sz w:val="22"/>
          <w:szCs w:val="22"/>
          <w:lang w:val="es-ES_tradnl"/>
        </w:rPr>
        <w:t xml:space="preserve"> valor</w:t>
      </w:r>
      <w:r w:rsidRPr="0022296B">
        <w:rPr>
          <w:rFonts w:ascii="Arial" w:hAnsi="Arial" w:cs="Arial"/>
          <w:sz w:val="22"/>
          <w:szCs w:val="22"/>
          <w:lang w:val="es-ES_tradnl"/>
        </w:rPr>
        <w:t xml:space="preserve">es de </w:t>
      </w:r>
      <w:r w:rsidR="005576C5" w:rsidRPr="0022296B">
        <w:rPr>
          <w:rFonts w:ascii="Arial" w:hAnsi="Arial" w:cs="Arial"/>
          <w:sz w:val="22"/>
          <w:szCs w:val="22"/>
          <w:lang w:val="es-ES_tradnl"/>
        </w:rPr>
        <w:t xml:space="preserve">P en </w:t>
      </w:r>
      <w:r w:rsidRPr="0022296B">
        <w:rPr>
          <w:rFonts w:ascii="Arial" w:hAnsi="Arial" w:cs="Arial"/>
          <w:sz w:val="22"/>
          <w:szCs w:val="22"/>
          <w:lang w:val="es-ES_tradnl"/>
        </w:rPr>
        <w:t>grano</w:t>
      </w:r>
      <w:r w:rsidR="00816069" w:rsidRPr="0022296B">
        <w:rPr>
          <w:rFonts w:ascii="Arial" w:hAnsi="Arial" w:cs="Arial"/>
          <w:sz w:val="22"/>
          <w:szCs w:val="22"/>
          <w:lang w:val="es-ES_tradnl"/>
        </w:rPr>
        <w:t xml:space="preserve"> a </w:t>
      </w:r>
      <w:r w:rsidR="005576C5" w:rsidRPr="0022296B">
        <w:rPr>
          <w:rFonts w:ascii="Arial" w:hAnsi="Arial" w:cs="Arial"/>
          <w:sz w:val="22"/>
          <w:szCs w:val="22"/>
          <w:lang w:val="es-ES_tradnl"/>
        </w:rPr>
        <w:t xml:space="preserve">P en </w:t>
      </w:r>
      <w:r w:rsidR="00816069" w:rsidRPr="0022296B">
        <w:rPr>
          <w:rFonts w:ascii="Arial" w:hAnsi="Arial" w:cs="Arial"/>
          <w:sz w:val="22"/>
          <w:szCs w:val="22"/>
          <w:lang w:val="es-ES_tradnl"/>
        </w:rPr>
        <w:t>planta entera se</w:t>
      </w:r>
      <w:r w:rsidRPr="0022296B">
        <w:rPr>
          <w:rFonts w:ascii="Arial" w:hAnsi="Arial" w:cs="Arial"/>
          <w:sz w:val="22"/>
          <w:szCs w:val="22"/>
          <w:lang w:val="es-ES_tradnl"/>
        </w:rPr>
        <w:t>gún</w:t>
      </w:r>
      <w:r w:rsidR="00816069" w:rsidRPr="0022296B">
        <w:rPr>
          <w:rFonts w:ascii="Arial" w:hAnsi="Arial" w:cs="Arial"/>
          <w:sz w:val="22"/>
          <w:szCs w:val="22"/>
          <w:lang w:val="es-ES_tradnl"/>
        </w:rPr>
        <w:t xml:space="preserve"> los índices de cosecha</w:t>
      </w:r>
      <w:r w:rsidRPr="0022296B">
        <w:rPr>
          <w:rFonts w:ascii="Arial" w:hAnsi="Arial" w:cs="Arial"/>
          <w:sz w:val="22"/>
          <w:szCs w:val="22"/>
          <w:lang w:val="es-ES_tradnl"/>
        </w:rPr>
        <w:t xml:space="preserve"> de P</w:t>
      </w:r>
      <w:r w:rsidR="00816069" w:rsidRPr="0022296B">
        <w:rPr>
          <w:rFonts w:ascii="Arial" w:hAnsi="Arial" w:cs="Arial"/>
          <w:sz w:val="22"/>
          <w:szCs w:val="22"/>
          <w:lang w:val="es-ES_tradnl"/>
        </w:rPr>
        <w:t xml:space="preserve"> propuestos por </w:t>
      </w:r>
      <w:r w:rsidR="005576C5" w:rsidRPr="0022296B">
        <w:rPr>
          <w:rFonts w:ascii="Arial" w:hAnsi="Arial" w:cs="Arial"/>
          <w:sz w:val="22"/>
          <w:szCs w:val="22"/>
          <w:lang w:val="es-ES_tradnl"/>
        </w:rPr>
        <w:t xml:space="preserve">IPNI </w:t>
      </w:r>
      <w:r w:rsidR="00816069" w:rsidRPr="0022296B">
        <w:rPr>
          <w:rFonts w:ascii="Arial" w:hAnsi="Arial" w:cs="Arial"/>
          <w:sz w:val="22"/>
          <w:szCs w:val="22"/>
          <w:lang w:val="es-ES_tradnl"/>
        </w:rPr>
        <w:t>(201</w:t>
      </w:r>
      <w:r w:rsidR="00F67DBE" w:rsidRPr="0022296B">
        <w:rPr>
          <w:rFonts w:ascii="Arial" w:hAnsi="Arial" w:cs="Arial"/>
          <w:sz w:val="22"/>
          <w:szCs w:val="22"/>
          <w:lang w:val="es-ES_tradnl"/>
        </w:rPr>
        <w:t>3</w:t>
      </w:r>
      <w:r w:rsidR="00816069" w:rsidRPr="0022296B">
        <w:rPr>
          <w:rFonts w:ascii="Arial" w:hAnsi="Arial" w:cs="Arial"/>
          <w:sz w:val="22"/>
          <w:szCs w:val="22"/>
          <w:lang w:val="es-ES_tradnl"/>
        </w:rPr>
        <w:t xml:space="preserve">). </w:t>
      </w:r>
    </w:p>
    <w:p w:rsidR="00EA1068" w:rsidRDefault="001D0880" w:rsidP="00FD706A">
      <w:pPr>
        <w:jc w:val="both"/>
        <w:rPr>
          <w:rFonts w:ascii="Arial" w:hAnsi="Arial" w:cs="Arial"/>
          <w:sz w:val="22"/>
          <w:szCs w:val="22"/>
          <w:lang w:val="es-ES_tradnl"/>
        </w:rPr>
      </w:pPr>
      <w:r w:rsidRPr="0022296B">
        <w:rPr>
          <w:rFonts w:ascii="Arial" w:hAnsi="Arial" w:cs="Arial"/>
          <w:sz w:val="22"/>
          <w:szCs w:val="22"/>
          <w:lang w:val="es-ES_tradnl"/>
        </w:rPr>
        <w:t>La</w:t>
      </w:r>
      <w:r w:rsidR="00816069" w:rsidRPr="0022296B">
        <w:rPr>
          <w:rFonts w:ascii="Arial" w:hAnsi="Arial" w:cs="Arial"/>
          <w:sz w:val="22"/>
          <w:szCs w:val="22"/>
          <w:lang w:val="es-ES_tradnl"/>
        </w:rPr>
        <w:t xml:space="preserve"> eficiencia de recuperación de P en planta entera osciló entre 0</w:t>
      </w:r>
      <w:r w:rsidR="00AD06E0">
        <w:rPr>
          <w:rFonts w:ascii="Arial" w:hAnsi="Arial" w:cs="Arial"/>
          <w:sz w:val="22"/>
          <w:szCs w:val="22"/>
          <w:lang w:val="es-ES_tradnl"/>
        </w:rPr>
        <w:t>,</w:t>
      </w:r>
      <w:r w:rsidR="001764F5">
        <w:rPr>
          <w:rFonts w:ascii="Arial" w:hAnsi="Arial" w:cs="Arial"/>
          <w:sz w:val="22"/>
          <w:szCs w:val="22"/>
          <w:lang w:val="es-ES_tradnl"/>
        </w:rPr>
        <w:t>30</w:t>
      </w:r>
      <w:r w:rsidR="00816069" w:rsidRPr="0022296B">
        <w:rPr>
          <w:rFonts w:ascii="Arial" w:hAnsi="Arial" w:cs="Arial"/>
          <w:sz w:val="22"/>
          <w:szCs w:val="22"/>
          <w:lang w:val="es-ES_tradnl"/>
        </w:rPr>
        <w:t xml:space="preserve"> y 0</w:t>
      </w:r>
      <w:r w:rsidR="001764F5">
        <w:rPr>
          <w:rFonts w:ascii="Arial" w:hAnsi="Arial" w:cs="Arial"/>
          <w:sz w:val="22"/>
          <w:szCs w:val="22"/>
          <w:lang w:val="es-ES_tradnl"/>
        </w:rPr>
        <w:t>,39, siendo menor</w:t>
      </w:r>
      <w:r w:rsidRPr="0022296B">
        <w:rPr>
          <w:rFonts w:ascii="Arial" w:hAnsi="Arial" w:cs="Arial"/>
          <w:sz w:val="22"/>
          <w:szCs w:val="22"/>
          <w:lang w:val="es-ES_tradnl"/>
        </w:rPr>
        <w:t xml:space="preserve"> </w:t>
      </w:r>
      <w:r w:rsidR="003E473F" w:rsidRPr="0022296B">
        <w:rPr>
          <w:rFonts w:ascii="Arial" w:hAnsi="Arial" w:cs="Arial"/>
          <w:sz w:val="22"/>
          <w:szCs w:val="22"/>
          <w:lang w:val="es-ES_tradnl"/>
        </w:rPr>
        <w:t xml:space="preserve">en la medida </w:t>
      </w:r>
      <w:r w:rsidR="00005B9C" w:rsidRPr="0022296B">
        <w:rPr>
          <w:rFonts w:ascii="Arial" w:hAnsi="Arial" w:cs="Arial"/>
          <w:sz w:val="22"/>
          <w:szCs w:val="22"/>
          <w:lang w:val="es-ES_tradnl"/>
        </w:rPr>
        <w:t xml:space="preserve">en </w:t>
      </w:r>
      <w:r w:rsidR="00816069" w:rsidRPr="0022296B">
        <w:rPr>
          <w:rFonts w:ascii="Arial" w:hAnsi="Arial" w:cs="Arial"/>
          <w:sz w:val="22"/>
          <w:szCs w:val="22"/>
          <w:lang w:val="es-ES_tradnl"/>
        </w:rPr>
        <w:t>que aument</w:t>
      </w:r>
      <w:r w:rsidR="00F003D5" w:rsidRPr="0022296B">
        <w:rPr>
          <w:rFonts w:ascii="Arial" w:hAnsi="Arial" w:cs="Arial"/>
          <w:sz w:val="22"/>
          <w:szCs w:val="22"/>
          <w:lang w:val="es-ES_tradnl"/>
        </w:rPr>
        <w:t>ó</w:t>
      </w:r>
      <w:r w:rsidR="00005B9C" w:rsidRPr="0022296B">
        <w:rPr>
          <w:rFonts w:ascii="Arial" w:hAnsi="Arial" w:cs="Arial"/>
          <w:sz w:val="22"/>
          <w:szCs w:val="22"/>
          <w:lang w:val="es-ES_tradnl"/>
        </w:rPr>
        <w:t xml:space="preserve"> la dosis </w:t>
      </w:r>
      <w:r w:rsidR="003E473F" w:rsidRPr="0022296B">
        <w:rPr>
          <w:rFonts w:ascii="Arial" w:hAnsi="Arial" w:cs="Arial"/>
          <w:sz w:val="22"/>
          <w:szCs w:val="22"/>
          <w:lang w:val="es-ES_tradnl"/>
        </w:rPr>
        <w:t>aplicad</w:t>
      </w:r>
      <w:r w:rsidR="00005B9C" w:rsidRPr="0022296B">
        <w:rPr>
          <w:rFonts w:ascii="Arial" w:hAnsi="Arial" w:cs="Arial"/>
          <w:sz w:val="22"/>
          <w:szCs w:val="22"/>
          <w:lang w:val="es-ES_tradnl"/>
        </w:rPr>
        <w:t>a (</w:t>
      </w:r>
      <w:r w:rsidR="00005B9C" w:rsidRPr="0022296B">
        <w:rPr>
          <w:rFonts w:ascii="Arial" w:hAnsi="Arial" w:cs="Arial"/>
          <w:b/>
          <w:sz w:val="22"/>
          <w:szCs w:val="22"/>
          <w:lang w:val="es-ES_tradnl"/>
        </w:rPr>
        <w:t xml:space="preserve">Figura </w:t>
      </w:r>
      <w:r w:rsidR="0045173B" w:rsidRPr="0022296B">
        <w:rPr>
          <w:rFonts w:ascii="Arial" w:hAnsi="Arial" w:cs="Arial"/>
          <w:b/>
          <w:sz w:val="22"/>
          <w:szCs w:val="22"/>
          <w:lang w:val="es-ES_tradnl"/>
        </w:rPr>
        <w:t>5</w:t>
      </w:r>
      <w:r w:rsidR="00005B9C" w:rsidRPr="0022296B">
        <w:rPr>
          <w:rFonts w:ascii="Arial" w:hAnsi="Arial" w:cs="Arial"/>
          <w:sz w:val="22"/>
          <w:szCs w:val="22"/>
          <w:lang w:val="es-ES_tradnl"/>
        </w:rPr>
        <w:t xml:space="preserve">). </w:t>
      </w:r>
      <w:r w:rsidR="00DD5B3C">
        <w:rPr>
          <w:rFonts w:ascii="Arial" w:hAnsi="Arial" w:cs="Arial"/>
          <w:sz w:val="22"/>
          <w:szCs w:val="22"/>
          <w:lang w:val="es-ES_tradnl"/>
        </w:rPr>
        <w:t>Estos valores se encuentran dentro del rango de 0</w:t>
      </w:r>
      <w:r w:rsidR="00CA2CC4">
        <w:rPr>
          <w:rFonts w:ascii="Arial" w:hAnsi="Arial" w:cs="Arial"/>
          <w:sz w:val="22"/>
          <w:szCs w:val="22"/>
          <w:lang w:val="es-ES_tradnl"/>
        </w:rPr>
        <w:t>,</w:t>
      </w:r>
      <w:r w:rsidR="00DD5B3C">
        <w:rPr>
          <w:rFonts w:ascii="Arial" w:hAnsi="Arial" w:cs="Arial"/>
          <w:sz w:val="22"/>
          <w:szCs w:val="22"/>
          <w:lang w:val="es-ES_tradnl"/>
        </w:rPr>
        <w:t>1</w:t>
      </w:r>
      <w:r w:rsidR="00C50BD7">
        <w:rPr>
          <w:rFonts w:ascii="Arial" w:hAnsi="Arial" w:cs="Arial"/>
          <w:sz w:val="22"/>
          <w:szCs w:val="22"/>
          <w:lang w:val="es-ES_tradnl"/>
        </w:rPr>
        <w:t>0</w:t>
      </w:r>
      <w:r w:rsidR="00DD5B3C">
        <w:rPr>
          <w:rFonts w:ascii="Arial" w:hAnsi="Arial" w:cs="Arial"/>
          <w:sz w:val="22"/>
          <w:szCs w:val="22"/>
          <w:lang w:val="es-ES_tradnl"/>
        </w:rPr>
        <w:t xml:space="preserve"> a 0</w:t>
      </w:r>
      <w:r w:rsidR="00CA2CC4">
        <w:rPr>
          <w:rFonts w:ascii="Arial" w:hAnsi="Arial" w:cs="Arial"/>
          <w:sz w:val="22"/>
          <w:szCs w:val="22"/>
          <w:lang w:val="es-ES_tradnl"/>
        </w:rPr>
        <w:t>,</w:t>
      </w:r>
      <w:r w:rsidR="00DD5B3C">
        <w:rPr>
          <w:rFonts w:ascii="Arial" w:hAnsi="Arial" w:cs="Arial"/>
          <w:sz w:val="22"/>
          <w:szCs w:val="22"/>
          <w:lang w:val="es-ES_tradnl"/>
        </w:rPr>
        <w:t>35 propuesto por diferentes autores (</w:t>
      </w:r>
      <w:proofErr w:type="spellStart"/>
      <w:r w:rsidR="00DD5B3C">
        <w:rPr>
          <w:rFonts w:ascii="Arial" w:hAnsi="Arial" w:cs="Arial"/>
          <w:sz w:val="22"/>
          <w:szCs w:val="22"/>
          <w:lang w:val="es-ES_tradnl"/>
        </w:rPr>
        <w:t>Ciampitti</w:t>
      </w:r>
      <w:proofErr w:type="spellEnd"/>
      <w:r w:rsidR="00DD5B3C">
        <w:rPr>
          <w:rFonts w:ascii="Arial" w:hAnsi="Arial" w:cs="Arial"/>
          <w:sz w:val="22"/>
          <w:szCs w:val="22"/>
          <w:lang w:val="es-ES_tradnl"/>
        </w:rPr>
        <w:t xml:space="preserve">, 2009; </w:t>
      </w:r>
      <w:r w:rsidR="006A65F4" w:rsidRPr="006A65F4">
        <w:rPr>
          <w:rFonts w:ascii="Arial" w:hAnsi="Arial" w:cs="Arial"/>
          <w:sz w:val="22"/>
          <w:szCs w:val="22"/>
          <w:lang w:val="es-ES_tradnl"/>
        </w:rPr>
        <w:t xml:space="preserve">Johnston and </w:t>
      </w:r>
      <w:proofErr w:type="spellStart"/>
      <w:r w:rsidR="006A65F4">
        <w:rPr>
          <w:rFonts w:ascii="Arial" w:hAnsi="Arial" w:cs="Arial"/>
          <w:sz w:val="22"/>
          <w:szCs w:val="22"/>
          <w:lang w:val="es-ES_tradnl"/>
        </w:rPr>
        <w:t>Syers</w:t>
      </w:r>
      <w:proofErr w:type="spellEnd"/>
      <w:r w:rsidR="006A65F4">
        <w:rPr>
          <w:rFonts w:ascii="Arial" w:hAnsi="Arial" w:cs="Arial"/>
          <w:sz w:val="22"/>
          <w:szCs w:val="22"/>
          <w:lang w:val="es-ES_tradnl"/>
        </w:rPr>
        <w:t>,</w:t>
      </w:r>
      <w:r w:rsidR="006A65F4" w:rsidRPr="006A65F4">
        <w:rPr>
          <w:rFonts w:ascii="Arial" w:hAnsi="Arial" w:cs="Arial"/>
          <w:sz w:val="22"/>
          <w:szCs w:val="22"/>
          <w:lang w:val="es-ES_tradnl"/>
        </w:rPr>
        <w:t xml:space="preserve"> 2009</w:t>
      </w:r>
      <w:r w:rsidR="006A65F4">
        <w:rPr>
          <w:rFonts w:ascii="Arial" w:hAnsi="Arial" w:cs="Arial"/>
          <w:sz w:val="22"/>
          <w:szCs w:val="22"/>
          <w:lang w:val="es-ES_tradnl"/>
        </w:rPr>
        <w:t xml:space="preserve">; </w:t>
      </w:r>
      <w:r w:rsidR="00DD5B3C">
        <w:rPr>
          <w:rFonts w:ascii="Arial" w:hAnsi="Arial" w:cs="Arial"/>
          <w:sz w:val="22"/>
          <w:szCs w:val="22"/>
          <w:lang w:val="es-ES_tradnl"/>
        </w:rPr>
        <w:t xml:space="preserve">Rubio et al., </w:t>
      </w:r>
      <w:r w:rsidR="006A65F4">
        <w:rPr>
          <w:rFonts w:ascii="Arial" w:hAnsi="Arial" w:cs="Arial"/>
          <w:sz w:val="22"/>
          <w:szCs w:val="22"/>
          <w:lang w:val="es-ES_tradnl"/>
        </w:rPr>
        <w:t>2008)</w:t>
      </w:r>
      <w:r w:rsidR="00DD5B3C">
        <w:rPr>
          <w:rFonts w:ascii="Arial" w:hAnsi="Arial" w:cs="Arial"/>
          <w:sz w:val="22"/>
          <w:szCs w:val="22"/>
          <w:lang w:val="es-ES_tradnl"/>
        </w:rPr>
        <w:t xml:space="preserve">. </w:t>
      </w:r>
      <w:r w:rsidR="00005B9C" w:rsidRPr="0022296B">
        <w:rPr>
          <w:rFonts w:ascii="Arial" w:hAnsi="Arial" w:cs="Arial"/>
          <w:sz w:val="22"/>
          <w:szCs w:val="22"/>
          <w:lang w:val="es-ES_tradnl"/>
        </w:rPr>
        <w:t xml:space="preserve">Los cultivos mostraron </w:t>
      </w:r>
      <w:r w:rsidR="003E6DD8" w:rsidRPr="0022296B">
        <w:rPr>
          <w:rFonts w:ascii="Arial" w:hAnsi="Arial" w:cs="Arial"/>
          <w:sz w:val="22"/>
          <w:szCs w:val="22"/>
          <w:lang w:val="es-ES_tradnl"/>
        </w:rPr>
        <w:t>una capacidad variable de recuperación del fertilizante aplicado (</w:t>
      </w:r>
      <w:r w:rsidR="003E6DD8" w:rsidRPr="0022296B">
        <w:rPr>
          <w:rFonts w:ascii="Arial" w:hAnsi="Arial" w:cs="Arial"/>
          <w:b/>
          <w:sz w:val="22"/>
          <w:szCs w:val="22"/>
          <w:lang w:val="es-ES_tradnl"/>
        </w:rPr>
        <w:t xml:space="preserve">Figura </w:t>
      </w:r>
      <w:r w:rsidR="0099044F" w:rsidRPr="0022296B">
        <w:rPr>
          <w:rFonts w:ascii="Arial" w:hAnsi="Arial" w:cs="Arial"/>
          <w:b/>
          <w:sz w:val="22"/>
          <w:szCs w:val="22"/>
          <w:lang w:val="es-ES_tradnl"/>
        </w:rPr>
        <w:t>6</w:t>
      </w:r>
      <w:r w:rsidR="003E6DD8" w:rsidRPr="0022296B">
        <w:rPr>
          <w:rFonts w:ascii="Arial" w:hAnsi="Arial" w:cs="Arial"/>
          <w:sz w:val="22"/>
          <w:szCs w:val="22"/>
          <w:lang w:val="es-ES_tradnl"/>
        </w:rPr>
        <w:t xml:space="preserve">). El comportamiento general muestra una mayor </w:t>
      </w:r>
      <w:r w:rsidR="00DE2276" w:rsidRPr="0022296B">
        <w:rPr>
          <w:rFonts w:ascii="Arial" w:hAnsi="Arial" w:cs="Arial"/>
          <w:sz w:val="22"/>
          <w:szCs w:val="22"/>
          <w:lang w:val="es-ES_tradnl"/>
        </w:rPr>
        <w:t>eficiencia</w:t>
      </w:r>
      <w:r w:rsidR="003E6DD8" w:rsidRPr="0022296B">
        <w:rPr>
          <w:rFonts w:ascii="Arial" w:hAnsi="Arial" w:cs="Arial"/>
          <w:sz w:val="22"/>
          <w:szCs w:val="22"/>
          <w:lang w:val="es-ES_tradnl"/>
        </w:rPr>
        <w:t xml:space="preserve"> en cultivos de verano con relación a los de invierno, entre los de primera siembra.</w:t>
      </w:r>
      <w:r w:rsidR="00EA1068">
        <w:rPr>
          <w:rFonts w:ascii="Arial" w:hAnsi="Arial" w:cs="Arial"/>
          <w:sz w:val="22"/>
          <w:szCs w:val="22"/>
          <w:lang w:val="es-ES_tradnl"/>
        </w:rPr>
        <w:t xml:space="preserve"> El maíz siempre presentó eficiencias de recuperación de P muy altas, con un contraste muy marcado respecto de soja. Soja de primera fue muy estable, absorbiendo en promedio de todos los tratamientos entre 34 y 36 % del P aplicado. En cambio, soja de segunda presentó un comportamiento variable, asociado a las precipitaciones y el rendimiento del antecesor (Figura 6).</w:t>
      </w:r>
    </w:p>
    <w:p w:rsidR="00EA1068" w:rsidRDefault="003E6DD8" w:rsidP="00FD706A">
      <w:pPr>
        <w:jc w:val="both"/>
        <w:rPr>
          <w:rFonts w:ascii="Arial" w:hAnsi="Arial" w:cs="Arial"/>
          <w:sz w:val="22"/>
          <w:szCs w:val="22"/>
          <w:lang w:val="es-ES_tradnl"/>
        </w:rPr>
      </w:pPr>
      <w:r w:rsidRPr="0022296B">
        <w:rPr>
          <w:rFonts w:ascii="Arial" w:hAnsi="Arial" w:cs="Arial"/>
          <w:sz w:val="22"/>
          <w:szCs w:val="22"/>
          <w:lang w:val="es-ES_tradnl"/>
        </w:rPr>
        <w:t>En campañas climáticamente sim</w:t>
      </w:r>
      <w:r w:rsidR="00DE2276" w:rsidRPr="0022296B">
        <w:rPr>
          <w:rFonts w:ascii="Arial" w:hAnsi="Arial" w:cs="Arial"/>
          <w:sz w:val="22"/>
          <w:szCs w:val="22"/>
          <w:lang w:val="es-ES_tradnl"/>
        </w:rPr>
        <w:t xml:space="preserve">ilares, el maíz del </w:t>
      </w:r>
      <w:r w:rsidR="00E05640">
        <w:rPr>
          <w:rFonts w:ascii="Arial" w:hAnsi="Arial" w:cs="Arial"/>
          <w:sz w:val="22"/>
          <w:szCs w:val="22"/>
          <w:lang w:val="es-ES_tradnl"/>
        </w:rPr>
        <w:t xml:space="preserve">undécimo año asimiló </w:t>
      </w:r>
      <w:r w:rsidRPr="0022296B">
        <w:rPr>
          <w:rFonts w:ascii="Arial" w:hAnsi="Arial" w:cs="Arial"/>
          <w:sz w:val="22"/>
          <w:szCs w:val="22"/>
          <w:lang w:val="es-ES_tradnl"/>
        </w:rPr>
        <w:t xml:space="preserve">mayor proporción de fertilizante que el del </w:t>
      </w:r>
      <w:r w:rsidR="00E05640">
        <w:rPr>
          <w:rFonts w:ascii="Arial" w:hAnsi="Arial" w:cs="Arial"/>
          <w:sz w:val="22"/>
          <w:szCs w:val="22"/>
          <w:lang w:val="es-ES_tradnl"/>
        </w:rPr>
        <w:t xml:space="preserve">quinto, y este a su vez fue más eficiente en recuperación respecto del </w:t>
      </w:r>
      <w:r w:rsidRPr="0022296B">
        <w:rPr>
          <w:rFonts w:ascii="Arial" w:hAnsi="Arial" w:cs="Arial"/>
          <w:sz w:val="22"/>
          <w:szCs w:val="22"/>
          <w:lang w:val="es-ES_tradnl"/>
        </w:rPr>
        <w:t>primero, probablemente a causa de la acumulación de fracciones lábiles de P con las sucesivas fertilizaciones. En cambio, la soja absorbió en pla</w:t>
      </w:r>
      <w:r w:rsidR="00D87C39">
        <w:rPr>
          <w:rFonts w:ascii="Arial" w:hAnsi="Arial" w:cs="Arial"/>
          <w:sz w:val="22"/>
          <w:szCs w:val="22"/>
          <w:lang w:val="es-ES_tradnl"/>
        </w:rPr>
        <w:t>nta una proporción similar en</w:t>
      </w:r>
      <w:r w:rsidRPr="0022296B">
        <w:rPr>
          <w:rFonts w:ascii="Arial" w:hAnsi="Arial" w:cs="Arial"/>
          <w:sz w:val="22"/>
          <w:szCs w:val="22"/>
          <w:lang w:val="es-ES_tradnl"/>
        </w:rPr>
        <w:t xml:space="preserve"> la</w:t>
      </w:r>
      <w:r w:rsidR="00D87C39">
        <w:rPr>
          <w:rFonts w:ascii="Arial" w:hAnsi="Arial" w:cs="Arial"/>
          <w:sz w:val="22"/>
          <w:szCs w:val="22"/>
          <w:lang w:val="es-ES_tradnl"/>
        </w:rPr>
        <w:t>s</w:t>
      </w:r>
      <w:r w:rsidRPr="0022296B">
        <w:rPr>
          <w:rFonts w:ascii="Arial" w:hAnsi="Arial" w:cs="Arial"/>
          <w:sz w:val="22"/>
          <w:szCs w:val="22"/>
          <w:lang w:val="es-ES_tradnl"/>
        </w:rPr>
        <w:t xml:space="preserve"> campaña</w:t>
      </w:r>
      <w:r w:rsidR="00D87C39">
        <w:rPr>
          <w:rFonts w:ascii="Arial" w:hAnsi="Arial" w:cs="Arial"/>
          <w:sz w:val="22"/>
          <w:szCs w:val="22"/>
          <w:lang w:val="es-ES_tradnl"/>
        </w:rPr>
        <w:t>s</w:t>
      </w:r>
      <w:r w:rsidRPr="0022296B">
        <w:rPr>
          <w:rFonts w:ascii="Arial" w:hAnsi="Arial" w:cs="Arial"/>
          <w:sz w:val="22"/>
          <w:szCs w:val="22"/>
          <w:lang w:val="es-ES_tradnl"/>
        </w:rPr>
        <w:t xml:space="preserve"> 2007/08</w:t>
      </w:r>
      <w:r w:rsidR="00D87C39">
        <w:rPr>
          <w:rFonts w:ascii="Arial" w:hAnsi="Arial" w:cs="Arial"/>
          <w:sz w:val="22"/>
          <w:szCs w:val="22"/>
          <w:lang w:val="es-ES_tradnl"/>
        </w:rPr>
        <w:t>, 2011/12 y 2014/15,</w:t>
      </w:r>
      <w:r w:rsidRPr="0022296B">
        <w:rPr>
          <w:rFonts w:ascii="Arial" w:hAnsi="Arial" w:cs="Arial"/>
          <w:sz w:val="22"/>
          <w:szCs w:val="22"/>
          <w:lang w:val="es-ES_tradnl"/>
        </w:rPr>
        <w:t xml:space="preserve"> aunque </w:t>
      </w:r>
      <w:r w:rsidR="00D87C39">
        <w:rPr>
          <w:rFonts w:ascii="Arial" w:hAnsi="Arial" w:cs="Arial"/>
          <w:sz w:val="22"/>
          <w:szCs w:val="22"/>
          <w:lang w:val="es-ES_tradnl"/>
        </w:rPr>
        <w:t xml:space="preserve">fueron disímiles climáticamente y en los rendimientos, evidenciando que la eficiencia de recuperación es muy conservativa en este cultivo. </w:t>
      </w:r>
      <w:r w:rsidR="00201B51">
        <w:rPr>
          <w:rFonts w:ascii="Arial" w:hAnsi="Arial" w:cs="Arial"/>
          <w:sz w:val="22"/>
          <w:szCs w:val="22"/>
          <w:lang w:val="es-ES_tradnl"/>
        </w:rPr>
        <w:t xml:space="preserve">En el </w:t>
      </w:r>
      <w:r w:rsidR="00EA1068">
        <w:rPr>
          <w:rFonts w:ascii="Arial" w:hAnsi="Arial" w:cs="Arial"/>
          <w:sz w:val="22"/>
          <w:szCs w:val="22"/>
          <w:lang w:val="es-ES_tradnl"/>
        </w:rPr>
        <w:t>período 2015</w:t>
      </w:r>
      <w:r w:rsidR="00201B51">
        <w:rPr>
          <w:rFonts w:ascii="Arial" w:hAnsi="Arial" w:cs="Arial"/>
          <w:sz w:val="22"/>
          <w:szCs w:val="22"/>
          <w:lang w:val="es-ES_tradnl"/>
        </w:rPr>
        <w:t>/1</w:t>
      </w:r>
      <w:r w:rsidR="00EA1068">
        <w:rPr>
          <w:rFonts w:ascii="Arial" w:hAnsi="Arial" w:cs="Arial"/>
          <w:sz w:val="22"/>
          <w:szCs w:val="22"/>
          <w:lang w:val="es-ES_tradnl"/>
        </w:rPr>
        <w:t xml:space="preserve">6 a la actualidad, asociado a </w:t>
      </w:r>
      <w:r w:rsidR="00EA1068">
        <w:rPr>
          <w:rFonts w:ascii="Arial" w:hAnsi="Arial" w:cs="Arial"/>
          <w:sz w:val="22"/>
          <w:szCs w:val="22"/>
          <w:lang w:val="es-ES_tradnl"/>
        </w:rPr>
        <w:lastRenderedPageBreak/>
        <w:t xml:space="preserve">un ciclo húmedo </w:t>
      </w:r>
      <w:r w:rsidR="00201B51">
        <w:rPr>
          <w:rFonts w:ascii="Arial" w:hAnsi="Arial" w:cs="Arial"/>
          <w:sz w:val="22"/>
          <w:szCs w:val="22"/>
          <w:lang w:val="es-ES_tradnl"/>
        </w:rPr>
        <w:t xml:space="preserve">se verificó una gran facilidad para la asimilación de P proveniente del </w:t>
      </w:r>
      <w:r w:rsidR="00D87C39">
        <w:rPr>
          <w:rFonts w:ascii="Arial" w:hAnsi="Arial" w:cs="Arial"/>
          <w:sz w:val="22"/>
          <w:szCs w:val="22"/>
          <w:lang w:val="es-ES_tradnl"/>
        </w:rPr>
        <w:t xml:space="preserve">fertilizante, </w:t>
      </w:r>
      <w:r w:rsidR="00201B51">
        <w:rPr>
          <w:rFonts w:ascii="Arial" w:hAnsi="Arial" w:cs="Arial"/>
          <w:sz w:val="22"/>
          <w:szCs w:val="22"/>
          <w:lang w:val="es-ES_tradnl"/>
        </w:rPr>
        <w:t xml:space="preserve">determinando </w:t>
      </w:r>
      <w:r w:rsidR="00D87C39">
        <w:rPr>
          <w:rFonts w:ascii="Arial" w:hAnsi="Arial" w:cs="Arial"/>
          <w:sz w:val="22"/>
          <w:szCs w:val="22"/>
          <w:lang w:val="es-ES_tradnl"/>
        </w:rPr>
        <w:t xml:space="preserve">valores de eficiencia que elevaron el promedio general. </w:t>
      </w:r>
    </w:p>
    <w:p w:rsidR="00016AAE" w:rsidRDefault="00300B02" w:rsidP="00FD706A">
      <w:pPr>
        <w:jc w:val="both"/>
        <w:rPr>
          <w:rFonts w:ascii="Arial" w:hAnsi="Arial" w:cs="Arial"/>
          <w:sz w:val="22"/>
          <w:szCs w:val="22"/>
          <w:lang w:val="es-ES_tradnl"/>
        </w:rPr>
      </w:pPr>
      <w:r>
        <w:rPr>
          <w:rFonts w:ascii="Arial" w:hAnsi="Arial" w:cs="Arial"/>
          <w:sz w:val="22"/>
          <w:szCs w:val="22"/>
          <w:lang w:val="es-ES_tradnl"/>
        </w:rPr>
        <w:t xml:space="preserve">Por la carencia de P, el T1 presenta una concentración en grano notablemente inferior, favoreciendo la diferencia de acumulación total entre testigo y fertilizados. Esto repercute incrementando la eficiencia de absorción del nutriente. </w:t>
      </w:r>
      <w:r w:rsidR="00F84388" w:rsidRPr="0022296B">
        <w:rPr>
          <w:rFonts w:ascii="Arial" w:hAnsi="Arial" w:cs="Arial"/>
          <w:sz w:val="22"/>
          <w:szCs w:val="22"/>
          <w:lang w:val="es-ES_tradnl"/>
        </w:rPr>
        <w:t xml:space="preserve">Por último, el trigo y la soja de la campaña seca 2008/09 </w:t>
      </w:r>
      <w:r w:rsidR="00DE2276" w:rsidRPr="0022296B">
        <w:rPr>
          <w:rFonts w:ascii="Arial" w:hAnsi="Arial" w:cs="Arial"/>
          <w:sz w:val="22"/>
          <w:szCs w:val="22"/>
          <w:lang w:val="es-ES_tradnl"/>
        </w:rPr>
        <w:t>recuperaron</w:t>
      </w:r>
      <w:r w:rsidR="00F84388" w:rsidRPr="0022296B">
        <w:rPr>
          <w:rFonts w:ascii="Arial" w:hAnsi="Arial" w:cs="Arial"/>
          <w:sz w:val="22"/>
          <w:szCs w:val="22"/>
          <w:lang w:val="es-ES_tradnl"/>
        </w:rPr>
        <w:t xml:space="preserve"> muy poco fertilizante en comparación con la cebada/soja de</w:t>
      </w:r>
      <w:r w:rsidR="0045173B" w:rsidRPr="0022296B">
        <w:rPr>
          <w:rFonts w:ascii="Arial" w:hAnsi="Arial" w:cs="Arial"/>
          <w:sz w:val="22"/>
          <w:szCs w:val="22"/>
          <w:lang w:val="es-ES_tradnl"/>
        </w:rPr>
        <w:t xml:space="preserve"> los </w:t>
      </w:r>
      <w:r w:rsidR="00F84388" w:rsidRPr="0022296B">
        <w:rPr>
          <w:rFonts w:ascii="Arial" w:hAnsi="Arial" w:cs="Arial"/>
          <w:sz w:val="22"/>
          <w:szCs w:val="22"/>
          <w:lang w:val="es-ES_tradnl"/>
        </w:rPr>
        <w:t>ciclo</w:t>
      </w:r>
      <w:r w:rsidR="0045173B" w:rsidRPr="0022296B">
        <w:rPr>
          <w:rFonts w:ascii="Arial" w:hAnsi="Arial" w:cs="Arial"/>
          <w:sz w:val="22"/>
          <w:szCs w:val="22"/>
          <w:lang w:val="es-ES_tradnl"/>
        </w:rPr>
        <w:t>s</w:t>
      </w:r>
      <w:r w:rsidR="00F84388" w:rsidRPr="0022296B">
        <w:rPr>
          <w:rFonts w:ascii="Arial" w:hAnsi="Arial" w:cs="Arial"/>
          <w:sz w:val="22"/>
          <w:szCs w:val="22"/>
          <w:lang w:val="es-ES_tradnl"/>
        </w:rPr>
        <w:t xml:space="preserve"> húmedo</w:t>
      </w:r>
      <w:r w:rsidR="0045173B" w:rsidRPr="0022296B">
        <w:rPr>
          <w:rFonts w:ascii="Arial" w:hAnsi="Arial" w:cs="Arial"/>
          <w:sz w:val="22"/>
          <w:szCs w:val="22"/>
          <w:lang w:val="es-ES_tradnl"/>
        </w:rPr>
        <w:t>s</w:t>
      </w:r>
      <w:r w:rsidR="00F84388" w:rsidRPr="0022296B">
        <w:rPr>
          <w:rFonts w:ascii="Arial" w:hAnsi="Arial" w:cs="Arial"/>
          <w:sz w:val="22"/>
          <w:szCs w:val="22"/>
          <w:lang w:val="es-ES_tradnl"/>
        </w:rPr>
        <w:t xml:space="preserve"> 2009/10</w:t>
      </w:r>
      <w:r w:rsidR="0045173B" w:rsidRPr="0022296B">
        <w:rPr>
          <w:rFonts w:ascii="Arial" w:hAnsi="Arial" w:cs="Arial"/>
          <w:sz w:val="22"/>
          <w:szCs w:val="22"/>
          <w:lang w:val="es-ES_tradnl"/>
        </w:rPr>
        <w:t xml:space="preserve"> y 2012/13</w:t>
      </w:r>
      <w:r w:rsidR="0099044F" w:rsidRPr="0022296B">
        <w:rPr>
          <w:rFonts w:ascii="Arial" w:hAnsi="Arial" w:cs="Arial"/>
          <w:sz w:val="22"/>
          <w:szCs w:val="22"/>
          <w:lang w:val="es-ES_tradnl"/>
        </w:rPr>
        <w:t xml:space="preserve">, o la </w:t>
      </w:r>
      <w:r>
        <w:rPr>
          <w:rFonts w:ascii="Arial" w:hAnsi="Arial" w:cs="Arial"/>
          <w:sz w:val="22"/>
          <w:szCs w:val="22"/>
          <w:lang w:val="es-ES_tradnl"/>
        </w:rPr>
        <w:t xml:space="preserve">secuencia de dobles cultivos </w:t>
      </w:r>
      <w:r w:rsidR="0099044F" w:rsidRPr="0022296B">
        <w:rPr>
          <w:rFonts w:ascii="Arial" w:hAnsi="Arial" w:cs="Arial"/>
          <w:sz w:val="22"/>
          <w:szCs w:val="22"/>
          <w:lang w:val="es-ES_tradnl"/>
        </w:rPr>
        <w:t>en la</w:t>
      </w:r>
      <w:r>
        <w:rPr>
          <w:rFonts w:ascii="Arial" w:hAnsi="Arial" w:cs="Arial"/>
          <w:sz w:val="22"/>
          <w:szCs w:val="22"/>
          <w:lang w:val="es-ES_tradnl"/>
        </w:rPr>
        <w:t>s</w:t>
      </w:r>
      <w:r w:rsidR="0099044F" w:rsidRPr="0022296B">
        <w:rPr>
          <w:rFonts w:ascii="Arial" w:hAnsi="Arial" w:cs="Arial"/>
          <w:sz w:val="22"/>
          <w:szCs w:val="22"/>
          <w:lang w:val="es-ES_tradnl"/>
        </w:rPr>
        <w:t xml:space="preserve"> campaña</w:t>
      </w:r>
      <w:r>
        <w:rPr>
          <w:rFonts w:ascii="Arial" w:hAnsi="Arial" w:cs="Arial"/>
          <w:sz w:val="22"/>
          <w:szCs w:val="22"/>
          <w:lang w:val="es-ES_tradnl"/>
        </w:rPr>
        <w:t>s</w:t>
      </w:r>
      <w:r w:rsidR="0099044F" w:rsidRPr="0022296B">
        <w:rPr>
          <w:rFonts w:ascii="Arial" w:hAnsi="Arial" w:cs="Arial"/>
          <w:sz w:val="22"/>
          <w:szCs w:val="22"/>
          <w:lang w:val="es-ES_tradnl"/>
        </w:rPr>
        <w:t xml:space="preserve"> 2013/14</w:t>
      </w:r>
      <w:r w:rsidR="005E7EAA">
        <w:rPr>
          <w:rFonts w:ascii="Arial" w:hAnsi="Arial" w:cs="Arial"/>
          <w:sz w:val="22"/>
          <w:szCs w:val="22"/>
          <w:lang w:val="es-ES_tradnl"/>
        </w:rPr>
        <w:t>,</w:t>
      </w:r>
      <w:r>
        <w:rPr>
          <w:rFonts w:ascii="Arial" w:hAnsi="Arial" w:cs="Arial"/>
          <w:sz w:val="22"/>
          <w:szCs w:val="22"/>
          <w:lang w:val="es-ES_tradnl"/>
        </w:rPr>
        <w:t xml:space="preserve"> 2015/16</w:t>
      </w:r>
      <w:r w:rsidR="005E7EAA">
        <w:rPr>
          <w:rFonts w:ascii="Arial" w:hAnsi="Arial" w:cs="Arial"/>
          <w:sz w:val="22"/>
          <w:szCs w:val="22"/>
          <w:lang w:val="es-ES_tradnl"/>
        </w:rPr>
        <w:t xml:space="preserve"> y 2018/19</w:t>
      </w:r>
      <w:r>
        <w:rPr>
          <w:rFonts w:ascii="Arial" w:hAnsi="Arial" w:cs="Arial"/>
          <w:sz w:val="22"/>
          <w:szCs w:val="22"/>
          <w:lang w:val="es-ES_tradnl"/>
        </w:rPr>
        <w:t>.</w:t>
      </w:r>
      <w:r w:rsidR="0099044F" w:rsidRPr="0022296B">
        <w:rPr>
          <w:rFonts w:ascii="Arial" w:hAnsi="Arial" w:cs="Arial"/>
          <w:sz w:val="22"/>
          <w:szCs w:val="22"/>
          <w:lang w:val="es-ES_tradnl"/>
        </w:rPr>
        <w:t xml:space="preserve"> </w:t>
      </w:r>
      <w:r w:rsidR="00A105BC">
        <w:rPr>
          <w:rFonts w:ascii="Arial" w:hAnsi="Arial" w:cs="Arial"/>
          <w:sz w:val="22"/>
          <w:szCs w:val="22"/>
          <w:lang w:val="es-ES_tradnl"/>
        </w:rPr>
        <w:t>Tomado individualmente por cultivo, e</w:t>
      </w:r>
      <w:r>
        <w:rPr>
          <w:rFonts w:ascii="Arial" w:hAnsi="Arial" w:cs="Arial"/>
          <w:sz w:val="22"/>
          <w:szCs w:val="22"/>
          <w:lang w:val="es-ES_tradnl"/>
        </w:rPr>
        <w:t xml:space="preserve">l valor promedio para todas las secuencias y tratamientos fue de </w:t>
      </w:r>
      <w:r w:rsidR="00AC43FC" w:rsidRPr="00CA2CC4">
        <w:rPr>
          <w:rFonts w:ascii="Arial" w:hAnsi="Arial" w:cs="Arial"/>
          <w:b/>
          <w:sz w:val="22"/>
          <w:szCs w:val="22"/>
          <w:lang w:val="es-ES_tradnl"/>
        </w:rPr>
        <w:t>3</w:t>
      </w:r>
      <w:r w:rsidR="00EA1068">
        <w:rPr>
          <w:rFonts w:ascii="Arial" w:hAnsi="Arial" w:cs="Arial"/>
          <w:b/>
          <w:sz w:val="22"/>
          <w:szCs w:val="22"/>
          <w:lang w:val="es-ES_tradnl"/>
        </w:rPr>
        <w:t>8</w:t>
      </w:r>
      <w:r w:rsidR="00AC43FC" w:rsidRPr="00CA2CC4">
        <w:rPr>
          <w:rFonts w:ascii="Arial" w:hAnsi="Arial" w:cs="Arial"/>
          <w:b/>
          <w:sz w:val="22"/>
          <w:szCs w:val="22"/>
          <w:lang w:val="es-ES_tradnl"/>
        </w:rPr>
        <w:t>,</w:t>
      </w:r>
      <w:r w:rsidR="00EA1068">
        <w:rPr>
          <w:rFonts w:ascii="Arial" w:hAnsi="Arial" w:cs="Arial"/>
          <w:b/>
          <w:sz w:val="22"/>
          <w:szCs w:val="22"/>
          <w:lang w:val="es-ES_tradnl"/>
        </w:rPr>
        <w:t>2</w:t>
      </w:r>
      <w:r w:rsidR="00AC43FC" w:rsidRPr="00CA2CC4">
        <w:rPr>
          <w:rFonts w:ascii="Arial" w:hAnsi="Arial" w:cs="Arial"/>
          <w:b/>
          <w:sz w:val="22"/>
          <w:szCs w:val="22"/>
          <w:lang w:val="es-ES_tradnl"/>
        </w:rPr>
        <w:t xml:space="preserve"> </w:t>
      </w:r>
      <w:r w:rsidRPr="00CA2CC4">
        <w:rPr>
          <w:rFonts w:ascii="Arial" w:hAnsi="Arial" w:cs="Arial"/>
          <w:b/>
          <w:sz w:val="22"/>
          <w:szCs w:val="22"/>
          <w:lang w:val="es-ES_tradnl"/>
        </w:rPr>
        <w:t>%</w:t>
      </w:r>
      <w:r>
        <w:rPr>
          <w:rFonts w:ascii="Arial" w:hAnsi="Arial" w:cs="Arial"/>
          <w:sz w:val="22"/>
          <w:szCs w:val="22"/>
          <w:lang w:val="es-ES_tradnl"/>
        </w:rPr>
        <w:t xml:space="preserve"> de P recuperado en el primer año de su aplicación </w:t>
      </w:r>
      <w:r w:rsidR="0099044F" w:rsidRPr="0022296B">
        <w:rPr>
          <w:rFonts w:ascii="Arial" w:hAnsi="Arial" w:cs="Arial"/>
          <w:sz w:val="22"/>
          <w:szCs w:val="22"/>
          <w:lang w:val="es-ES_tradnl"/>
        </w:rPr>
        <w:t>(</w:t>
      </w:r>
      <w:r w:rsidR="0099044F" w:rsidRPr="0022296B">
        <w:rPr>
          <w:rFonts w:ascii="Arial" w:hAnsi="Arial" w:cs="Arial"/>
          <w:b/>
          <w:sz w:val="22"/>
          <w:szCs w:val="22"/>
          <w:lang w:val="es-ES_tradnl"/>
        </w:rPr>
        <w:t>Figura 6</w:t>
      </w:r>
      <w:r w:rsidR="0099044F" w:rsidRPr="0022296B">
        <w:rPr>
          <w:rFonts w:ascii="Arial" w:hAnsi="Arial" w:cs="Arial"/>
          <w:sz w:val="22"/>
          <w:szCs w:val="22"/>
          <w:lang w:val="es-ES_tradnl"/>
        </w:rPr>
        <w:t>).</w:t>
      </w:r>
      <w:r w:rsidR="00CA2CC4">
        <w:rPr>
          <w:rFonts w:ascii="Arial" w:hAnsi="Arial" w:cs="Arial"/>
          <w:sz w:val="22"/>
          <w:szCs w:val="22"/>
          <w:lang w:val="es-ES_tradnl"/>
        </w:rPr>
        <w:t xml:space="preserve"> Dentro de este rango, las gramíneas fueron más eficientes (</w:t>
      </w:r>
      <w:r w:rsidR="00CA2CC4" w:rsidRPr="00CA2CC4">
        <w:rPr>
          <w:rFonts w:ascii="Arial" w:hAnsi="Arial" w:cs="Arial"/>
          <w:b/>
          <w:sz w:val="22"/>
          <w:szCs w:val="22"/>
          <w:lang w:val="es-ES_tradnl"/>
        </w:rPr>
        <w:t>4</w:t>
      </w:r>
      <w:r w:rsidR="008D1593">
        <w:rPr>
          <w:rFonts w:ascii="Arial" w:hAnsi="Arial" w:cs="Arial"/>
          <w:b/>
          <w:sz w:val="22"/>
          <w:szCs w:val="22"/>
          <w:lang w:val="es-ES_tradnl"/>
        </w:rPr>
        <w:t>4</w:t>
      </w:r>
      <w:r w:rsidR="00CA2CC4" w:rsidRPr="00CA2CC4">
        <w:rPr>
          <w:rFonts w:ascii="Arial" w:hAnsi="Arial" w:cs="Arial"/>
          <w:b/>
          <w:sz w:val="22"/>
          <w:szCs w:val="22"/>
          <w:lang w:val="es-ES_tradnl"/>
        </w:rPr>
        <w:t>%</w:t>
      </w:r>
      <w:r w:rsidR="00CA2CC4">
        <w:rPr>
          <w:rFonts w:ascii="Arial" w:hAnsi="Arial" w:cs="Arial"/>
          <w:sz w:val="22"/>
          <w:szCs w:val="22"/>
          <w:lang w:val="es-ES_tradnl"/>
        </w:rPr>
        <w:t>) en comparación con la soja (</w:t>
      </w:r>
      <w:r w:rsidR="00CA2CC4" w:rsidRPr="00CA2CC4">
        <w:rPr>
          <w:rFonts w:ascii="Arial" w:hAnsi="Arial" w:cs="Arial"/>
          <w:b/>
          <w:sz w:val="22"/>
          <w:szCs w:val="22"/>
          <w:lang w:val="es-ES_tradnl"/>
        </w:rPr>
        <w:t>3</w:t>
      </w:r>
      <w:r w:rsidR="008D1593">
        <w:rPr>
          <w:rFonts w:ascii="Arial" w:hAnsi="Arial" w:cs="Arial"/>
          <w:b/>
          <w:sz w:val="22"/>
          <w:szCs w:val="22"/>
          <w:lang w:val="es-ES_tradnl"/>
        </w:rPr>
        <w:t>2</w:t>
      </w:r>
      <w:r w:rsidR="00CA2CC4" w:rsidRPr="00CA2CC4">
        <w:rPr>
          <w:rFonts w:ascii="Arial" w:hAnsi="Arial" w:cs="Arial"/>
          <w:b/>
          <w:sz w:val="22"/>
          <w:szCs w:val="22"/>
          <w:lang w:val="es-ES_tradnl"/>
        </w:rPr>
        <w:t>%</w:t>
      </w:r>
      <w:r w:rsidR="00CA2CC4">
        <w:rPr>
          <w:rFonts w:ascii="Arial" w:hAnsi="Arial" w:cs="Arial"/>
          <w:sz w:val="22"/>
          <w:szCs w:val="22"/>
          <w:lang w:val="es-ES_tradnl"/>
        </w:rPr>
        <w:t>).</w:t>
      </w:r>
      <w:r w:rsidR="005D1A6D">
        <w:rPr>
          <w:rFonts w:ascii="Arial" w:hAnsi="Arial" w:cs="Arial"/>
          <w:sz w:val="22"/>
          <w:szCs w:val="22"/>
          <w:lang w:val="es-ES_tradnl"/>
        </w:rPr>
        <w:t xml:space="preserve"> </w:t>
      </w:r>
      <w:r w:rsidR="005E7EAA">
        <w:rPr>
          <w:rFonts w:ascii="Arial" w:hAnsi="Arial" w:cs="Arial"/>
          <w:sz w:val="22"/>
          <w:szCs w:val="22"/>
          <w:lang w:val="es-ES_tradnl"/>
        </w:rPr>
        <w:t xml:space="preserve">Entre cultivos, la máxima recuperación correspondió a los dobles cultivos </w:t>
      </w:r>
      <w:r w:rsidR="005E7EAA" w:rsidRPr="005E7EAA">
        <w:rPr>
          <w:rFonts w:ascii="Arial" w:hAnsi="Arial" w:cs="Arial"/>
          <w:b/>
          <w:sz w:val="22"/>
          <w:szCs w:val="22"/>
          <w:lang w:val="es-ES_tradnl"/>
        </w:rPr>
        <w:t>(6</w:t>
      </w:r>
      <w:r w:rsidR="008D1593">
        <w:rPr>
          <w:rFonts w:ascii="Arial" w:hAnsi="Arial" w:cs="Arial"/>
          <w:b/>
          <w:sz w:val="22"/>
          <w:szCs w:val="22"/>
          <w:lang w:val="es-ES_tradnl"/>
        </w:rPr>
        <w:t>6</w:t>
      </w:r>
      <w:r w:rsidR="005E7EAA" w:rsidRPr="005E7EAA">
        <w:rPr>
          <w:rFonts w:ascii="Arial" w:hAnsi="Arial" w:cs="Arial"/>
          <w:b/>
          <w:sz w:val="22"/>
          <w:szCs w:val="22"/>
          <w:lang w:val="es-ES_tradnl"/>
        </w:rPr>
        <w:t xml:space="preserve"> %</w:t>
      </w:r>
      <w:r w:rsidR="005E7EAA">
        <w:rPr>
          <w:rFonts w:ascii="Arial" w:hAnsi="Arial" w:cs="Arial"/>
          <w:b/>
          <w:sz w:val="22"/>
          <w:szCs w:val="22"/>
          <w:lang w:val="es-ES_tradnl"/>
        </w:rPr>
        <w:t>: 3</w:t>
      </w:r>
      <w:r w:rsidR="008D1593">
        <w:rPr>
          <w:rFonts w:ascii="Arial" w:hAnsi="Arial" w:cs="Arial"/>
          <w:b/>
          <w:sz w:val="22"/>
          <w:szCs w:val="22"/>
          <w:lang w:val="es-ES_tradnl"/>
        </w:rPr>
        <w:t>7 % en cultivos de invierno y 30</w:t>
      </w:r>
      <w:r w:rsidR="005E7EAA">
        <w:rPr>
          <w:rFonts w:ascii="Arial" w:hAnsi="Arial" w:cs="Arial"/>
          <w:b/>
          <w:sz w:val="22"/>
          <w:szCs w:val="22"/>
          <w:lang w:val="es-ES_tradnl"/>
        </w:rPr>
        <w:t xml:space="preserve"> % en verano</w:t>
      </w:r>
      <w:r w:rsidR="005E7EAA" w:rsidRPr="005E7EAA">
        <w:rPr>
          <w:rFonts w:ascii="Arial" w:hAnsi="Arial" w:cs="Arial"/>
          <w:b/>
          <w:sz w:val="22"/>
          <w:szCs w:val="22"/>
          <w:lang w:val="es-ES_tradnl"/>
        </w:rPr>
        <w:t>)</w:t>
      </w:r>
      <w:r w:rsidR="005E7EAA">
        <w:rPr>
          <w:rFonts w:ascii="Arial" w:hAnsi="Arial" w:cs="Arial"/>
          <w:b/>
          <w:sz w:val="22"/>
          <w:szCs w:val="22"/>
          <w:lang w:val="es-ES_tradnl"/>
        </w:rPr>
        <w:t xml:space="preserve">, </w:t>
      </w:r>
      <w:r w:rsidR="005E7EAA" w:rsidRPr="005E7EAA">
        <w:rPr>
          <w:rFonts w:ascii="Arial" w:hAnsi="Arial" w:cs="Arial"/>
          <w:sz w:val="22"/>
          <w:szCs w:val="22"/>
          <w:lang w:val="es-ES_tradnl"/>
        </w:rPr>
        <w:t>seguido por</w:t>
      </w:r>
      <w:r w:rsidR="005E7EAA">
        <w:rPr>
          <w:rFonts w:ascii="Arial" w:hAnsi="Arial" w:cs="Arial"/>
          <w:b/>
          <w:sz w:val="22"/>
          <w:szCs w:val="22"/>
          <w:lang w:val="es-ES_tradnl"/>
        </w:rPr>
        <w:t xml:space="preserve"> maíz (5</w:t>
      </w:r>
      <w:r w:rsidR="008D1593">
        <w:rPr>
          <w:rFonts w:ascii="Arial" w:hAnsi="Arial" w:cs="Arial"/>
          <w:b/>
          <w:sz w:val="22"/>
          <w:szCs w:val="22"/>
          <w:lang w:val="es-ES_tradnl"/>
        </w:rPr>
        <w:t>6</w:t>
      </w:r>
      <w:r w:rsidR="005E7EAA">
        <w:rPr>
          <w:rFonts w:ascii="Arial" w:hAnsi="Arial" w:cs="Arial"/>
          <w:b/>
          <w:sz w:val="22"/>
          <w:szCs w:val="22"/>
          <w:lang w:val="es-ES_tradnl"/>
        </w:rPr>
        <w:t xml:space="preserve"> %). </w:t>
      </w:r>
      <w:r w:rsidR="005E7EAA" w:rsidRPr="005E7EAA">
        <w:rPr>
          <w:rFonts w:ascii="Arial" w:hAnsi="Arial" w:cs="Arial"/>
          <w:sz w:val="22"/>
          <w:szCs w:val="22"/>
          <w:lang w:val="es-ES_tradnl"/>
        </w:rPr>
        <w:t>El menor valor correspondió a</w:t>
      </w:r>
      <w:r w:rsidR="005E7EAA">
        <w:rPr>
          <w:rFonts w:ascii="Arial" w:hAnsi="Arial" w:cs="Arial"/>
          <w:b/>
          <w:sz w:val="22"/>
          <w:szCs w:val="22"/>
          <w:lang w:val="es-ES_tradnl"/>
        </w:rPr>
        <w:t xml:space="preserve"> soja 1ra (36 %).</w:t>
      </w:r>
      <w:r w:rsidR="005E7EAA">
        <w:rPr>
          <w:rFonts w:ascii="Arial" w:hAnsi="Arial" w:cs="Arial"/>
          <w:sz w:val="22"/>
          <w:szCs w:val="22"/>
          <w:lang w:val="es-ES_tradnl"/>
        </w:rPr>
        <w:t xml:space="preserve"> </w:t>
      </w:r>
      <w:r w:rsidR="005D1A6D">
        <w:rPr>
          <w:rFonts w:ascii="Arial" w:hAnsi="Arial" w:cs="Arial"/>
          <w:sz w:val="22"/>
          <w:szCs w:val="22"/>
          <w:lang w:val="es-ES_tradnl"/>
        </w:rPr>
        <w:t xml:space="preserve">Los valores de eficiencia de recuperación de </w:t>
      </w:r>
      <w:r>
        <w:rPr>
          <w:rFonts w:ascii="Arial" w:hAnsi="Arial" w:cs="Arial"/>
          <w:sz w:val="22"/>
          <w:szCs w:val="22"/>
          <w:lang w:val="es-ES_tradnl"/>
        </w:rPr>
        <w:t>nutrientes</w:t>
      </w:r>
      <w:r w:rsidR="005D1A6D">
        <w:rPr>
          <w:rFonts w:ascii="Arial" w:hAnsi="Arial" w:cs="Arial"/>
          <w:sz w:val="22"/>
          <w:szCs w:val="22"/>
          <w:lang w:val="es-ES_tradnl"/>
        </w:rPr>
        <w:t xml:space="preserve"> mostrados por la bibliografía son muy amplios</w:t>
      </w:r>
      <w:r w:rsidR="004F67A1">
        <w:rPr>
          <w:rFonts w:ascii="Arial" w:hAnsi="Arial" w:cs="Arial"/>
          <w:sz w:val="22"/>
          <w:szCs w:val="22"/>
          <w:lang w:val="es-ES_tradnl"/>
        </w:rPr>
        <w:t>,</w:t>
      </w:r>
      <w:r w:rsidR="005D1A6D">
        <w:rPr>
          <w:rFonts w:ascii="Arial" w:hAnsi="Arial" w:cs="Arial"/>
          <w:sz w:val="22"/>
          <w:szCs w:val="22"/>
          <w:lang w:val="es-ES_tradnl"/>
        </w:rPr>
        <w:t xml:space="preserve"> y están influenciados por factores de suelo y cultivo tales como textura, nivel de P inicial, pH, presencia de Calcio (Ca) y carbonatos, precipitaciones, dosis aplicada y rendi</w:t>
      </w:r>
      <w:r>
        <w:rPr>
          <w:rFonts w:ascii="Arial" w:hAnsi="Arial" w:cs="Arial"/>
          <w:sz w:val="22"/>
          <w:szCs w:val="22"/>
          <w:lang w:val="es-ES_tradnl"/>
        </w:rPr>
        <w:t>miento del cultivo, entre otro</w:t>
      </w:r>
      <w:r w:rsidR="005D1A6D">
        <w:rPr>
          <w:rFonts w:ascii="Arial" w:hAnsi="Arial" w:cs="Arial"/>
          <w:sz w:val="22"/>
          <w:szCs w:val="22"/>
          <w:lang w:val="es-ES_tradnl"/>
        </w:rPr>
        <w:t>s.</w:t>
      </w:r>
    </w:p>
    <w:p w:rsidR="00672894" w:rsidRPr="0022296B" w:rsidRDefault="00EA1068" w:rsidP="00A24F8E">
      <w:pPr>
        <w:jc w:val="center"/>
        <w:rPr>
          <w:rFonts w:ascii="Arial" w:hAnsi="Arial" w:cs="Arial"/>
          <w:sz w:val="22"/>
          <w:szCs w:val="22"/>
          <w:lang w:val="es-ES_tradnl"/>
        </w:rPr>
      </w:pPr>
      <w:r>
        <w:rPr>
          <w:noProof/>
        </w:rPr>
        <w:drawing>
          <wp:inline distT="0" distB="0" distL="0" distR="0" wp14:anchorId="176DA956" wp14:editId="30D48C3F">
            <wp:extent cx="4724400" cy="3444875"/>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E7EAA" w:rsidRPr="0022296B" w:rsidRDefault="008D2D80" w:rsidP="008D2D80">
      <w:pPr>
        <w:jc w:val="both"/>
        <w:rPr>
          <w:rFonts w:ascii="Arial" w:hAnsi="Arial" w:cs="Arial"/>
          <w:sz w:val="20"/>
          <w:szCs w:val="22"/>
        </w:rPr>
      </w:pPr>
      <w:r w:rsidRPr="0022296B">
        <w:rPr>
          <w:rFonts w:ascii="Arial" w:hAnsi="Arial" w:cs="Arial"/>
          <w:b/>
          <w:sz w:val="20"/>
          <w:szCs w:val="22"/>
          <w:lang w:val="es-ES_tradnl"/>
        </w:rPr>
        <w:t>Figura 5.</w:t>
      </w:r>
      <w:r w:rsidRPr="0022296B">
        <w:rPr>
          <w:rFonts w:ascii="Arial" w:hAnsi="Arial" w:cs="Arial"/>
          <w:sz w:val="20"/>
          <w:szCs w:val="22"/>
          <w:lang w:val="es-ES_tradnl"/>
        </w:rPr>
        <w:t xml:space="preserve"> Fracción de fósforo recuperada en planta entera según estrategia de fertilización. </w:t>
      </w:r>
      <w:r w:rsidR="008871C3" w:rsidRPr="0022296B">
        <w:rPr>
          <w:rFonts w:ascii="Arial" w:hAnsi="Arial" w:cs="Arial"/>
          <w:sz w:val="20"/>
          <w:szCs w:val="22"/>
          <w:lang w:val="es-ES_tradnl"/>
        </w:rPr>
        <w:t xml:space="preserve">Las barras verticales representan la desviación estándar de la media. </w:t>
      </w:r>
      <w:r w:rsidRPr="0022296B">
        <w:rPr>
          <w:rFonts w:ascii="Arial" w:hAnsi="Arial" w:cs="Arial"/>
          <w:sz w:val="20"/>
          <w:szCs w:val="22"/>
          <w:lang w:val="es-ES_tradnl"/>
        </w:rPr>
        <w:t>Ensayo de larga duración, Arribeños, General Arenales. Campañas 2006/07 a 201</w:t>
      </w:r>
      <w:r w:rsidR="00EA1068">
        <w:rPr>
          <w:rFonts w:ascii="Arial" w:hAnsi="Arial" w:cs="Arial"/>
          <w:sz w:val="20"/>
          <w:szCs w:val="22"/>
          <w:lang w:val="es-ES_tradnl"/>
        </w:rPr>
        <w:t>9/20</w:t>
      </w:r>
      <w:r w:rsidRPr="0022296B">
        <w:rPr>
          <w:rFonts w:ascii="Arial" w:hAnsi="Arial" w:cs="Arial"/>
          <w:sz w:val="20"/>
          <w:szCs w:val="22"/>
          <w:lang w:val="es-ES_tradnl"/>
        </w:rPr>
        <w:t>.</w:t>
      </w:r>
      <w:r w:rsidRPr="0022296B">
        <w:rPr>
          <w:rFonts w:ascii="Arial" w:hAnsi="Arial" w:cs="Arial"/>
          <w:sz w:val="20"/>
          <w:szCs w:val="22"/>
        </w:rPr>
        <w:t xml:space="preserve"> </w:t>
      </w:r>
    </w:p>
    <w:p w:rsidR="00672894" w:rsidRPr="0022296B" w:rsidRDefault="00D76BAE" w:rsidP="00A24F8E">
      <w:pPr>
        <w:jc w:val="center"/>
        <w:rPr>
          <w:rFonts w:ascii="Arial" w:hAnsi="Arial" w:cs="Arial"/>
          <w:sz w:val="20"/>
          <w:szCs w:val="22"/>
        </w:rPr>
      </w:pPr>
      <w:r w:rsidRPr="00873F31">
        <w:rPr>
          <w:noProof/>
          <w:shd w:val="clear" w:color="auto" w:fill="FFFFFF"/>
        </w:rPr>
        <w:lastRenderedPageBreak/>
        <w:drawing>
          <wp:inline distT="0" distB="0" distL="0" distR="0" wp14:anchorId="40128F36" wp14:editId="3E57E8B0">
            <wp:extent cx="6353175" cy="3457575"/>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8D2D80" w:rsidRPr="0022296B" w:rsidRDefault="008D2D80" w:rsidP="008D2D80">
      <w:pPr>
        <w:jc w:val="both"/>
        <w:rPr>
          <w:rFonts w:ascii="Arial" w:hAnsi="Arial" w:cs="Arial"/>
          <w:sz w:val="20"/>
          <w:szCs w:val="22"/>
        </w:rPr>
      </w:pPr>
      <w:r w:rsidRPr="0022296B">
        <w:rPr>
          <w:rFonts w:ascii="Arial" w:hAnsi="Arial" w:cs="Arial"/>
          <w:b/>
          <w:sz w:val="20"/>
          <w:szCs w:val="22"/>
          <w:lang w:val="es-ES_tradnl"/>
        </w:rPr>
        <w:t>Figura 6.</w:t>
      </w:r>
      <w:r w:rsidRPr="0022296B">
        <w:rPr>
          <w:rFonts w:ascii="Arial" w:hAnsi="Arial" w:cs="Arial"/>
          <w:sz w:val="20"/>
          <w:szCs w:val="22"/>
          <w:lang w:val="es-ES_tradnl"/>
        </w:rPr>
        <w:t xml:space="preserve"> Fracción de fósforo recuperada en planta entera según cultivo. </w:t>
      </w:r>
      <w:r w:rsidR="008871C3" w:rsidRPr="0022296B">
        <w:rPr>
          <w:rFonts w:ascii="Arial" w:hAnsi="Arial" w:cs="Arial"/>
          <w:sz w:val="20"/>
          <w:szCs w:val="22"/>
          <w:lang w:val="es-ES_tradnl"/>
        </w:rPr>
        <w:t xml:space="preserve">Las barras verticales representan la desviación estándar de la media. </w:t>
      </w:r>
      <w:r w:rsidRPr="0022296B">
        <w:rPr>
          <w:rFonts w:ascii="Arial" w:hAnsi="Arial" w:cs="Arial"/>
          <w:sz w:val="20"/>
          <w:szCs w:val="22"/>
          <w:lang w:val="es-ES_tradnl"/>
        </w:rPr>
        <w:t>Ensayo de larga duración, Arribeños, General Arenales. Campañas 2006/07 a 201</w:t>
      </w:r>
      <w:r w:rsidR="005E7EAA">
        <w:rPr>
          <w:rFonts w:ascii="Arial" w:hAnsi="Arial" w:cs="Arial"/>
          <w:sz w:val="20"/>
          <w:szCs w:val="22"/>
          <w:lang w:val="es-ES_tradnl"/>
        </w:rPr>
        <w:t>8</w:t>
      </w:r>
      <w:r w:rsidRPr="0022296B">
        <w:rPr>
          <w:rFonts w:ascii="Arial" w:hAnsi="Arial" w:cs="Arial"/>
          <w:sz w:val="20"/>
          <w:szCs w:val="22"/>
          <w:lang w:val="es-ES_tradnl"/>
        </w:rPr>
        <w:t>/1</w:t>
      </w:r>
      <w:r w:rsidR="005E7EAA">
        <w:rPr>
          <w:rFonts w:ascii="Arial" w:hAnsi="Arial" w:cs="Arial"/>
          <w:sz w:val="20"/>
          <w:szCs w:val="22"/>
          <w:lang w:val="es-ES_tradnl"/>
        </w:rPr>
        <w:t>9</w:t>
      </w:r>
      <w:r w:rsidRPr="0022296B">
        <w:rPr>
          <w:rFonts w:ascii="Arial" w:hAnsi="Arial" w:cs="Arial"/>
          <w:sz w:val="20"/>
          <w:szCs w:val="22"/>
          <w:lang w:val="es-ES_tradnl"/>
        </w:rPr>
        <w:t>.</w:t>
      </w:r>
      <w:r w:rsidRPr="0022296B">
        <w:rPr>
          <w:rFonts w:ascii="Arial" w:hAnsi="Arial" w:cs="Arial"/>
          <w:sz w:val="20"/>
          <w:szCs w:val="22"/>
        </w:rPr>
        <w:t xml:space="preserve"> </w:t>
      </w:r>
    </w:p>
    <w:p w:rsidR="00D546BA" w:rsidRPr="0022296B" w:rsidRDefault="0022296B" w:rsidP="00FD706A">
      <w:pPr>
        <w:jc w:val="both"/>
        <w:rPr>
          <w:rFonts w:ascii="Arial" w:hAnsi="Arial" w:cs="Arial"/>
          <w:b/>
          <w:szCs w:val="22"/>
          <w:lang w:val="es-ES_tradnl"/>
        </w:rPr>
      </w:pPr>
      <w:r w:rsidRPr="0022296B">
        <w:rPr>
          <w:rFonts w:ascii="Arial" w:hAnsi="Arial" w:cs="Arial"/>
          <w:b/>
          <w:szCs w:val="22"/>
          <w:lang w:val="es-ES_tradnl"/>
        </w:rPr>
        <w:t>CONSIDERACIONES FINALES</w:t>
      </w:r>
    </w:p>
    <w:p w:rsidR="00D546BA" w:rsidRPr="0022296B" w:rsidRDefault="00994AAC" w:rsidP="00FD706A">
      <w:pPr>
        <w:jc w:val="both"/>
        <w:rPr>
          <w:rFonts w:ascii="Arial" w:hAnsi="Arial" w:cs="Arial"/>
          <w:sz w:val="22"/>
          <w:szCs w:val="22"/>
          <w:lang w:val="es-ES_tradnl"/>
        </w:rPr>
      </w:pPr>
      <w:r w:rsidRPr="0022296B">
        <w:rPr>
          <w:rFonts w:ascii="Arial" w:hAnsi="Arial" w:cs="Arial"/>
          <w:sz w:val="22"/>
          <w:szCs w:val="22"/>
          <w:lang w:val="es-ES_tradnl"/>
        </w:rPr>
        <w:t xml:space="preserve">* </w:t>
      </w:r>
      <w:r w:rsidR="00D546BA" w:rsidRPr="0022296B">
        <w:rPr>
          <w:rFonts w:ascii="Arial" w:hAnsi="Arial" w:cs="Arial"/>
          <w:sz w:val="22"/>
          <w:szCs w:val="22"/>
          <w:lang w:val="es-ES_tradnl"/>
        </w:rPr>
        <w:t>Las estrategias de fertilización impactar</w:t>
      </w:r>
      <w:r w:rsidR="007C641D" w:rsidRPr="0022296B">
        <w:rPr>
          <w:rFonts w:ascii="Arial" w:hAnsi="Arial" w:cs="Arial"/>
          <w:sz w:val="22"/>
          <w:szCs w:val="22"/>
          <w:lang w:val="es-ES_tradnl"/>
        </w:rPr>
        <w:t>on</w:t>
      </w:r>
      <w:r w:rsidR="00D546BA" w:rsidRPr="0022296B">
        <w:rPr>
          <w:rFonts w:ascii="Arial" w:hAnsi="Arial" w:cs="Arial"/>
          <w:sz w:val="22"/>
          <w:szCs w:val="22"/>
          <w:lang w:val="es-ES_tradnl"/>
        </w:rPr>
        <w:t xml:space="preserve"> en los rendimientos, modificaron el balance de nutrientes</w:t>
      </w:r>
      <w:r w:rsidR="00245105" w:rsidRPr="0022296B">
        <w:rPr>
          <w:rFonts w:ascii="Arial" w:hAnsi="Arial" w:cs="Arial"/>
          <w:sz w:val="22"/>
          <w:szCs w:val="22"/>
          <w:lang w:val="es-ES_tradnl"/>
        </w:rPr>
        <w:t xml:space="preserve"> y este a su vez correlacionó </w:t>
      </w:r>
      <w:r w:rsidRPr="0022296B">
        <w:rPr>
          <w:rFonts w:ascii="Arial" w:hAnsi="Arial" w:cs="Arial"/>
          <w:sz w:val="22"/>
          <w:szCs w:val="22"/>
          <w:lang w:val="es-ES_tradnl"/>
        </w:rPr>
        <w:t xml:space="preserve">fuertemente </w:t>
      </w:r>
      <w:r w:rsidR="00D546BA" w:rsidRPr="0022296B">
        <w:rPr>
          <w:rFonts w:ascii="Arial" w:hAnsi="Arial" w:cs="Arial"/>
          <w:sz w:val="22"/>
          <w:szCs w:val="22"/>
          <w:lang w:val="es-ES_tradnl"/>
        </w:rPr>
        <w:t>con los niveles finales de P en suelo</w:t>
      </w:r>
      <w:r w:rsidR="00A24F8E" w:rsidRPr="0022296B">
        <w:rPr>
          <w:rFonts w:ascii="Arial" w:hAnsi="Arial" w:cs="Arial"/>
          <w:sz w:val="22"/>
          <w:szCs w:val="22"/>
          <w:lang w:val="es-ES_tradnl"/>
        </w:rPr>
        <w:t>.</w:t>
      </w:r>
    </w:p>
    <w:p w:rsidR="00994AAC" w:rsidRPr="0022296B" w:rsidRDefault="00245105" w:rsidP="00FD706A">
      <w:pPr>
        <w:jc w:val="both"/>
        <w:rPr>
          <w:rFonts w:ascii="Arial" w:hAnsi="Arial" w:cs="Arial"/>
          <w:sz w:val="22"/>
          <w:szCs w:val="22"/>
          <w:lang w:val="es-ES_tradnl"/>
        </w:rPr>
      </w:pPr>
      <w:r w:rsidRPr="0022296B">
        <w:rPr>
          <w:rFonts w:ascii="Arial" w:hAnsi="Arial" w:cs="Arial"/>
          <w:sz w:val="22"/>
          <w:szCs w:val="22"/>
          <w:lang w:val="es-ES_tradnl"/>
        </w:rPr>
        <w:t>* La</w:t>
      </w:r>
      <w:r w:rsidR="00916BC7" w:rsidRPr="0022296B">
        <w:rPr>
          <w:rFonts w:ascii="Arial" w:hAnsi="Arial" w:cs="Arial"/>
          <w:sz w:val="22"/>
          <w:szCs w:val="22"/>
          <w:lang w:val="es-ES_tradnl"/>
        </w:rPr>
        <w:t>s</w:t>
      </w:r>
      <w:r w:rsidRPr="0022296B">
        <w:rPr>
          <w:rFonts w:ascii="Arial" w:hAnsi="Arial" w:cs="Arial"/>
          <w:sz w:val="22"/>
          <w:szCs w:val="22"/>
          <w:lang w:val="es-ES_tradnl"/>
        </w:rPr>
        <w:t xml:space="preserve"> diferencia</w:t>
      </w:r>
      <w:r w:rsidR="00916BC7" w:rsidRPr="0022296B">
        <w:rPr>
          <w:rFonts w:ascii="Arial" w:hAnsi="Arial" w:cs="Arial"/>
          <w:sz w:val="22"/>
          <w:szCs w:val="22"/>
          <w:lang w:val="es-ES_tradnl"/>
        </w:rPr>
        <w:t>s</w:t>
      </w:r>
      <w:r w:rsidRPr="0022296B">
        <w:rPr>
          <w:rFonts w:ascii="Arial" w:hAnsi="Arial" w:cs="Arial"/>
          <w:sz w:val="22"/>
          <w:szCs w:val="22"/>
          <w:lang w:val="es-ES_tradnl"/>
        </w:rPr>
        <w:t xml:space="preserve"> en </w:t>
      </w:r>
      <w:r w:rsidR="008871C3" w:rsidRPr="0022296B">
        <w:rPr>
          <w:rFonts w:ascii="Arial" w:hAnsi="Arial" w:cs="Arial"/>
          <w:sz w:val="22"/>
          <w:szCs w:val="22"/>
          <w:lang w:val="es-ES_tradnl"/>
        </w:rPr>
        <w:t>producción de granos</w:t>
      </w:r>
      <w:r w:rsidRPr="0022296B">
        <w:rPr>
          <w:rFonts w:ascii="Arial" w:hAnsi="Arial" w:cs="Arial"/>
          <w:sz w:val="22"/>
          <w:szCs w:val="22"/>
          <w:lang w:val="es-ES_tradnl"/>
        </w:rPr>
        <w:t xml:space="preserve"> entre estrategias</w:t>
      </w:r>
      <w:r w:rsidR="008C454A" w:rsidRPr="0022296B">
        <w:rPr>
          <w:rFonts w:ascii="Arial" w:hAnsi="Arial" w:cs="Arial"/>
          <w:sz w:val="22"/>
          <w:szCs w:val="22"/>
          <w:lang w:val="es-ES_tradnl"/>
        </w:rPr>
        <w:t xml:space="preserve"> se amplían campaña tras campaña. Así, la diferencia entre </w:t>
      </w:r>
      <w:r w:rsidR="00916BC7" w:rsidRPr="0022296B">
        <w:rPr>
          <w:rFonts w:ascii="Arial" w:hAnsi="Arial" w:cs="Arial"/>
          <w:sz w:val="22"/>
          <w:szCs w:val="22"/>
          <w:lang w:val="es-ES_tradnl"/>
        </w:rPr>
        <w:t>los tratamientos</w:t>
      </w:r>
      <w:r w:rsidR="00994AAC" w:rsidRPr="0022296B">
        <w:rPr>
          <w:rFonts w:ascii="Arial" w:hAnsi="Arial" w:cs="Arial"/>
          <w:sz w:val="22"/>
          <w:szCs w:val="22"/>
          <w:lang w:val="es-ES_tradnl"/>
        </w:rPr>
        <w:t xml:space="preserve"> T5 y T1 alcanza luego de </w:t>
      </w:r>
      <w:r w:rsidR="000962B0">
        <w:rPr>
          <w:rFonts w:ascii="Arial" w:hAnsi="Arial" w:cs="Arial"/>
          <w:sz w:val="22"/>
          <w:szCs w:val="22"/>
          <w:lang w:val="es-ES_tradnl"/>
        </w:rPr>
        <w:t>1</w:t>
      </w:r>
      <w:r w:rsidR="005E7EAA">
        <w:rPr>
          <w:rFonts w:ascii="Arial" w:hAnsi="Arial" w:cs="Arial"/>
          <w:sz w:val="22"/>
          <w:szCs w:val="22"/>
          <w:lang w:val="es-ES_tradnl"/>
        </w:rPr>
        <w:t>3</w:t>
      </w:r>
      <w:r w:rsidR="008C454A" w:rsidRPr="0022296B">
        <w:rPr>
          <w:rFonts w:ascii="Arial" w:hAnsi="Arial" w:cs="Arial"/>
          <w:sz w:val="22"/>
          <w:szCs w:val="22"/>
          <w:lang w:val="es-ES_tradnl"/>
        </w:rPr>
        <w:t xml:space="preserve"> años y </w:t>
      </w:r>
      <w:r w:rsidR="008527A1" w:rsidRPr="0022296B">
        <w:rPr>
          <w:rFonts w:ascii="Arial" w:hAnsi="Arial" w:cs="Arial"/>
          <w:sz w:val="22"/>
          <w:szCs w:val="22"/>
          <w:lang w:val="es-ES_tradnl"/>
        </w:rPr>
        <w:t>1</w:t>
      </w:r>
      <w:r w:rsidR="005E7EAA">
        <w:rPr>
          <w:rFonts w:ascii="Arial" w:hAnsi="Arial" w:cs="Arial"/>
          <w:sz w:val="22"/>
          <w:szCs w:val="22"/>
          <w:lang w:val="es-ES_tradnl"/>
        </w:rPr>
        <w:t>8</w:t>
      </w:r>
      <w:r w:rsidR="000962B0">
        <w:rPr>
          <w:rFonts w:ascii="Arial" w:hAnsi="Arial" w:cs="Arial"/>
          <w:sz w:val="22"/>
          <w:szCs w:val="22"/>
          <w:lang w:val="es-ES_tradnl"/>
        </w:rPr>
        <w:t xml:space="preserve"> cultivos a un </w:t>
      </w:r>
      <w:r w:rsidR="00681937">
        <w:rPr>
          <w:rFonts w:ascii="Arial" w:hAnsi="Arial" w:cs="Arial"/>
          <w:sz w:val="22"/>
          <w:szCs w:val="22"/>
          <w:lang w:val="es-ES_tradnl"/>
        </w:rPr>
        <w:t>7</w:t>
      </w:r>
      <w:r w:rsidR="00A105BC">
        <w:rPr>
          <w:rFonts w:ascii="Arial" w:hAnsi="Arial" w:cs="Arial"/>
          <w:sz w:val="22"/>
          <w:szCs w:val="22"/>
          <w:lang w:val="es-ES_tradnl"/>
        </w:rPr>
        <w:t>2</w:t>
      </w:r>
      <w:r w:rsidR="00681937">
        <w:rPr>
          <w:rFonts w:ascii="Arial" w:hAnsi="Arial" w:cs="Arial"/>
          <w:sz w:val="22"/>
          <w:szCs w:val="22"/>
          <w:lang w:val="es-ES_tradnl"/>
        </w:rPr>
        <w:t>,</w:t>
      </w:r>
      <w:r w:rsidR="00A105BC">
        <w:rPr>
          <w:rFonts w:ascii="Arial" w:hAnsi="Arial" w:cs="Arial"/>
          <w:sz w:val="22"/>
          <w:szCs w:val="22"/>
          <w:lang w:val="es-ES_tradnl"/>
        </w:rPr>
        <w:t>9</w:t>
      </w:r>
      <w:r w:rsidR="008C454A" w:rsidRPr="0022296B">
        <w:rPr>
          <w:rFonts w:ascii="Arial" w:hAnsi="Arial" w:cs="Arial"/>
          <w:sz w:val="22"/>
          <w:szCs w:val="22"/>
          <w:lang w:val="es-ES_tradnl"/>
        </w:rPr>
        <w:t xml:space="preserve"> %.</w:t>
      </w:r>
    </w:p>
    <w:p w:rsidR="00245105" w:rsidRPr="0022296B" w:rsidRDefault="00994AAC" w:rsidP="00FD706A">
      <w:pPr>
        <w:jc w:val="both"/>
        <w:rPr>
          <w:rFonts w:ascii="Arial" w:hAnsi="Arial" w:cs="Arial"/>
          <w:sz w:val="22"/>
          <w:szCs w:val="22"/>
          <w:lang w:val="es-ES_tradnl"/>
        </w:rPr>
      </w:pPr>
      <w:r w:rsidRPr="0022296B">
        <w:rPr>
          <w:rFonts w:ascii="Arial" w:hAnsi="Arial" w:cs="Arial"/>
          <w:sz w:val="22"/>
          <w:szCs w:val="22"/>
          <w:lang w:val="es-ES_tradnl"/>
        </w:rPr>
        <w:t xml:space="preserve">* Para P y S, estrategias pensadas como de reposición finalmente resultaron ser de reconstrucción. </w:t>
      </w:r>
      <w:r w:rsidR="00DF2046">
        <w:rPr>
          <w:rFonts w:ascii="Arial" w:hAnsi="Arial" w:cs="Arial"/>
          <w:sz w:val="22"/>
          <w:szCs w:val="22"/>
          <w:lang w:val="es-ES_tradnl"/>
        </w:rPr>
        <w:t xml:space="preserve">Esto podría explicarse por el reciclaje de P hacia capas superiores. Mientras las plantas asimilan </w:t>
      </w:r>
      <w:proofErr w:type="gramStart"/>
      <w:r w:rsidR="00DF2046">
        <w:rPr>
          <w:rFonts w:ascii="Arial" w:hAnsi="Arial" w:cs="Arial"/>
          <w:sz w:val="22"/>
          <w:szCs w:val="22"/>
          <w:lang w:val="es-ES_tradnl"/>
        </w:rPr>
        <w:t>el nutrientes</w:t>
      </w:r>
      <w:proofErr w:type="gramEnd"/>
      <w:r w:rsidR="00DF2046">
        <w:rPr>
          <w:rFonts w:ascii="Arial" w:hAnsi="Arial" w:cs="Arial"/>
          <w:sz w:val="22"/>
          <w:szCs w:val="22"/>
          <w:lang w:val="es-ES_tradnl"/>
        </w:rPr>
        <w:t xml:space="preserve"> desde diferentes estratos de suelo, la devolución por fertilización y los residuos se localiza cerca de la superficie. </w:t>
      </w:r>
      <w:r w:rsidR="00A105BC">
        <w:rPr>
          <w:rFonts w:ascii="Arial" w:hAnsi="Arial" w:cs="Arial"/>
          <w:sz w:val="22"/>
          <w:szCs w:val="22"/>
          <w:lang w:val="es-ES_tradnl"/>
        </w:rPr>
        <w:t>En cambio, los tratamientos T1 (testigo) y T2 (TUA) resultaron secuencias extractivas, que llevaron a un final por debajo del observado al comenzar el experimento.</w:t>
      </w:r>
    </w:p>
    <w:p w:rsidR="008527A1" w:rsidRPr="0022296B" w:rsidRDefault="00D546BA" w:rsidP="00FD706A">
      <w:pPr>
        <w:jc w:val="both"/>
        <w:rPr>
          <w:rFonts w:ascii="Arial" w:hAnsi="Arial" w:cs="Arial"/>
          <w:sz w:val="22"/>
          <w:szCs w:val="22"/>
          <w:lang w:val="es-ES_tradnl"/>
        </w:rPr>
      </w:pPr>
      <w:r w:rsidRPr="0022296B">
        <w:rPr>
          <w:rFonts w:ascii="Arial" w:hAnsi="Arial" w:cs="Arial"/>
          <w:sz w:val="22"/>
          <w:szCs w:val="22"/>
          <w:lang w:val="es-ES_tradnl"/>
        </w:rPr>
        <w:t xml:space="preserve">* </w:t>
      </w:r>
      <w:r w:rsidR="00994AAC" w:rsidRPr="0022296B">
        <w:rPr>
          <w:rFonts w:ascii="Arial" w:hAnsi="Arial" w:cs="Arial"/>
          <w:sz w:val="22"/>
          <w:szCs w:val="22"/>
          <w:lang w:val="es-ES_tradnl"/>
        </w:rPr>
        <w:t xml:space="preserve">Diferentes dosis de aplicación de nutrientes </w:t>
      </w:r>
      <w:r w:rsidRPr="0022296B">
        <w:rPr>
          <w:rFonts w:ascii="Arial" w:hAnsi="Arial" w:cs="Arial"/>
          <w:sz w:val="22"/>
          <w:szCs w:val="22"/>
          <w:lang w:val="es-ES_tradnl"/>
        </w:rPr>
        <w:t>genera</w:t>
      </w:r>
      <w:r w:rsidR="008871C3" w:rsidRPr="0022296B">
        <w:rPr>
          <w:rFonts w:ascii="Arial" w:hAnsi="Arial" w:cs="Arial"/>
          <w:sz w:val="22"/>
          <w:szCs w:val="22"/>
          <w:lang w:val="es-ES_tradnl"/>
        </w:rPr>
        <w:t>ro</w:t>
      </w:r>
      <w:r w:rsidRPr="0022296B">
        <w:rPr>
          <w:rFonts w:ascii="Arial" w:hAnsi="Arial" w:cs="Arial"/>
          <w:sz w:val="22"/>
          <w:szCs w:val="22"/>
          <w:lang w:val="es-ES_tradnl"/>
        </w:rPr>
        <w:t xml:space="preserve">n cambios previsibles de su disponibilidad en el suelo. </w:t>
      </w:r>
      <w:r w:rsidR="008527A1" w:rsidRPr="0022296B">
        <w:rPr>
          <w:rFonts w:ascii="Arial" w:hAnsi="Arial" w:cs="Arial"/>
          <w:sz w:val="22"/>
          <w:szCs w:val="22"/>
          <w:lang w:val="es-ES_tradnl"/>
        </w:rPr>
        <w:t xml:space="preserve">Luego de </w:t>
      </w:r>
      <w:r w:rsidR="00A105BC">
        <w:rPr>
          <w:rFonts w:ascii="Arial" w:hAnsi="Arial" w:cs="Arial"/>
          <w:sz w:val="22"/>
          <w:szCs w:val="22"/>
          <w:lang w:val="es-ES_tradnl"/>
        </w:rPr>
        <w:t>trece</w:t>
      </w:r>
      <w:r w:rsidR="008527A1" w:rsidRPr="0022296B">
        <w:rPr>
          <w:rFonts w:ascii="Arial" w:hAnsi="Arial" w:cs="Arial"/>
          <w:sz w:val="22"/>
          <w:szCs w:val="22"/>
          <w:lang w:val="es-ES_tradnl"/>
        </w:rPr>
        <w:t xml:space="preserve"> años de experimentación, la tasa de cambi</w:t>
      </w:r>
      <w:r w:rsidR="00F31C35" w:rsidRPr="0022296B">
        <w:rPr>
          <w:rFonts w:ascii="Arial" w:hAnsi="Arial" w:cs="Arial"/>
          <w:sz w:val="22"/>
          <w:szCs w:val="22"/>
          <w:lang w:val="es-ES_tradnl"/>
        </w:rPr>
        <w:t>o</w:t>
      </w:r>
      <w:r w:rsidR="008527A1" w:rsidRPr="0022296B">
        <w:rPr>
          <w:rFonts w:ascii="Arial" w:hAnsi="Arial" w:cs="Arial"/>
          <w:sz w:val="22"/>
          <w:szCs w:val="22"/>
          <w:lang w:val="es-ES_tradnl"/>
        </w:rPr>
        <w:t xml:space="preserve"> fue de 1 mg kg</w:t>
      </w:r>
      <w:r w:rsidR="008527A1" w:rsidRPr="0022296B">
        <w:rPr>
          <w:rFonts w:ascii="Arial" w:hAnsi="Arial" w:cs="Arial"/>
          <w:sz w:val="22"/>
          <w:szCs w:val="22"/>
          <w:vertAlign w:val="superscript"/>
          <w:lang w:val="es-ES_tradnl"/>
        </w:rPr>
        <w:t>-1</w:t>
      </w:r>
      <w:r w:rsidR="008527A1" w:rsidRPr="0022296B">
        <w:rPr>
          <w:rFonts w:ascii="Arial" w:hAnsi="Arial" w:cs="Arial"/>
          <w:sz w:val="22"/>
          <w:szCs w:val="22"/>
          <w:lang w:val="es-ES_tradnl"/>
        </w:rPr>
        <w:t xml:space="preserve"> de P </w:t>
      </w:r>
      <w:proofErr w:type="spellStart"/>
      <w:r w:rsidR="008527A1" w:rsidRPr="0022296B">
        <w:rPr>
          <w:rFonts w:ascii="Arial" w:hAnsi="Arial" w:cs="Arial"/>
          <w:sz w:val="22"/>
          <w:szCs w:val="22"/>
          <w:lang w:val="es-ES_tradnl"/>
        </w:rPr>
        <w:t>Bray</w:t>
      </w:r>
      <w:proofErr w:type="spellEnd"/>
      <w:r w:rsidR="008527A1" w:rsidRPr="0022296B">
        <w:rPr>
          <w:rFonts w:ascii="Arial" w:hAnsi="Arial" w:cs="Arial"/>
          <w:sz w:val="22"/>
          <w:szCs w:val="22"/>
          <w:lang w:val="es-ES_tradnl"/>
        </w:rPr>
        <w:t xml:space="preserve"> (0-20 cm) por cada </w:t>
      </w:r>
      <w:r w:rsidR="004F67A1" w:rsidRPr="00DF2046">
        <w:rPr>
          <w:rFonts w:ascii="Arial" w:hAnsi="Arial" w:cs="Arial"/>
          <w:b/>
          <w:sz w:val="22"/>
          <w:szCs w:val="22"/>
          <w:lang w:val="es-ES_tradnl"/>
        </w:rPr>
        <w:t>4</w:t>
      </w:r>
      <w:r w:rsidR="00DF2046" w:rsidRPr="00DF2046">
        <w:rPr>
          <w:rFonts w:ascii="Arial" w:hAnsi="Arial" w:cs="Arial"/>
          <w:b/>
          <w:sz w:val="22"/>
          <w:szCs w:val="22"/>
          <w:lang w:val="es-ES_tradnl"/>
        </w:rPr>
        <w:t>,</w:t>
      </w:r>
      <w:r w:rsidR="00A105BC">
        <w:rPr>
          <w:rFonts w:ascii="Arial" w:hAnsi="Arial" w:cs="Arial"/>
          <w:b/>
          <w:sz w:val="22"/>
          <w:szCs w:val="22"/>
          <w:lang w:val="es-ES_tradnl"/>
        </w:rPr>
        <w:t>0</w:t>
      </w:r>
      <w:r w:rsidR="008527A1" w:rsidRPr="0022296B">
        <w:rPr>
          <w:rFonts w:ascii="Arial" w:hAnsi="Arial" w:cs="Arial"/>
          <w:sz w:val="22"/>
          <w:szCs w:val="22"/>
          <w:lang w:val="es-ES_tradnl"/>
        </w:rPr>
        <w:t xml:space="preserve"> </w:t>
      </w:r>
      <w:r w:rsidR="008527A1" w:rsidRPr="00DF2046">
        <w:rPr>
          <w:rFonts w:ascii="Arial" w:hAnsi="Arial" w:cs="Arial"/>
          <w:b/>
          <w:sz w:val="22"/>
          <w:szCs w:val="22"/>
          <w:lang w:val="es-ES_tradnl"/>
        </w:rPr>
        <w:t>kg P</w:t>
      </w:r>
      <w:r w:rsidR="008871C3" w:rsidRPr="00DF2046">
        <w:rPr>
          <w:rFonts w:ascii="Arial" w:hAnsi="Arial" w:cs="Arial"/>
          <w:b/>
          <w:sz w:val="22"/>
          <w:szCs w:val="22"/>
          <w:lang w:val="es-ES_tradnl"/>
        </w:rPr>
        <w:t xml:space="preserve"> </w:t>
      </w:r>
      <w:r w:rsidR="008527A1" w:rsidRPr="00DF2046">
        <w:rPr>
          <w:rFonts w:ascii="Arial" w:hAnsi="Arial" w:cs="Arial"/>
          <w:b/>
          <w:sz w:val="22"/>
          <w:szCs w:val="22"/>
          <w:lang w:val="es-ES_tradnl"/>
        </w:rPr>
        <w:t>ha</w:t>
      </w:r>
      <w:r w:rsidR="008527A1" w:rsidRPr="00DF2046">
        <w:rPr>
          <w:rFonts w:ascii="Arial" w:hAnsi="Arial" w:cs="Arial"/>
          <w:b/>
          <w:sz w:val="22"/>
          <w:szCs w:val="22"/>
          <w:vertAlign w:val="superscript"/>
          <w:lang w:val="es-ES_tradnl"/>
        </w:rPr>
        <w:t>-1</w:t>
      </w:r>
      <w:r w:rsidR="008527A1" w:rsidRPr="0022296B">
        <w:rPr>
          <w:rFonts w:ascii="Arial" w:hAnsi="Arial" w:cs="Arial"/>
          <w:sz w:val="22"/>
          <w:szCs w:val="22"/>
          <w:lang w:val="es-ES_tradnl"/>
        </w:rPr>
        <w:t xml:space="preserve"> de </w:t>
      </w:r>
      <w:r w:rsidR="00681937">
        <w:rPr>
          <w:rFonts w:ascii="Arial" w:hAnsi="Arial" w:cs="Arial"/>
          <w:sz w:val="22"/>
          <w:szCs w:val="22"/>
          <w:lang w:val="es-ES_tradnl"/>
        </w:rPr>
        <w:t xml:space="preserve">balance positivo y </w:t>
      </w:r>
      <w:r w:rsidR="00681937" w:rsidRPr="00DF2046">
        <w:rPr>
          <w:rFonts w:ascii="Arial" w:hAnsi="Arial" w:cs="Arial"/>
          <w:b/>
          <w:sz w:val="22"/>
          <w:szCs w:val="22"/>
          <w:lang w:val="es-ES_tradnl"/>
        </w:rPr>
        <w:t>5,</w:t>
      </w:r>
      <w:r w:rsidR="00A105BC">
        <w:rPr>
          <w:rFonts w:ascii="Arial" w:hAnsi="Arial" w:cs="Arial"/>
          <w:b/>
          <w:sz w:val="22"/>
          <w:szCs w:val="22"/>
          <w:lang w:val="es-ES_tradnl"/>
        </w:rPr>
        <w:t>5</w:t>
      </w:r>
      <w:r w:rsidR="00681937" w:rsidRPr="00DF2046">
        <w:rPr>
          <w:rFonts w:ascii="Arial" w:hAnsi="Arial" w:cs="Arial"/>
          <w:b/>
          <w:sz w:val="22"/>
          <w:szCs w:val="22"/>
          <w:lang w:val="es-ES_tradnl"/>
        </w:rPr>
        <w:t xml:space="preserve"> kg P ha</w:t>
      </w:r>
      <w:r w:rsidR="00681937" w:rsidRPr="00DF2046">
        <w:rPr>
          <w:rFonts w:ascii="Arial" w:hAnsi="Arial" w:cs="Arial"/>
          <w:b/>
          <w:sz w:val="22"/>
          <w:szCs w:val="22"/>
          <w:vertAlign w:val="superscript"/>
          <w:lang w:val="es-ES_tradnl"/>
        </w:rPr>
        <w:t>-1</w:t>
      </w:r>
      <w:r w:rsidR="00681937" w:rsidRPr="0022296B">
        <w:rPr>
          <w:rFonts w:ascii="Arial" w:hAnsi="Arial" w:cs="Arial"/>
          <w:sz w:val="22"/>
          <w:szCs w:val="22"/>
          <w:lang w:val="es-ES_tradnl"/>
        </w:rPr>
        <w:t xml:space="preserve"> de </w:t>
      </w:r>
      <w:r w:rsidR="00681937">
        <w:rPr>
          <w:rFonts w:ascii="Arial" w:hAnsi="Arial" w:cs="Arial"/>
          <w:sz w:val="22"/>
          <w:szCs w:val="22"/>
          <w:lang w:val="es-ES_tradnl"/>
        </w:rPr>
        <w:t>balance negativo</w:t>
      </w:r>
      <w:r w:rsidR="008527A1" w:rsidRPr="0022296B">
        <w:rPr>
          <w:rFonts w:ascii="Arial" w:hAnsi="Arial" w:cs="Arial"/>
          <w:sz w:val="22"/>
          <w:szCs w:val="22"/>
          <w:lang w:val="es-ES_tradnl"/>
        </w:rPr>
        <w:t xml:space="preserve">. </w:t>
      </w:r>
      <w:r w:rsidR="008C454A" w:rsidRPr="0022296B">
        <w:rPr>
          <w:rFonts w:ascii="Arial" w:hAnsi="Arial" w:cs="Arial"/>
          <w:sz w:val="22"/>
          <w:szCs w:val="22"/>
          <w:lang w:val="es-ES_tradnl"/>
        </w:rPr>
        <w:t xml:space="preserve">La relación </w:t>
      </w:r>
      <w:r w:rsidR="0015793F" w:rsidRPr="0022296B">
        <w:rPr>
          <w:rFonts w:ascii="Arial" w:hAnsi="Arial" w:cs="Arial"/>
          <w:sz w:val="22"/>
          <w:szCs w:val="22"/>
          <w:lang w:val="es-ES_tradnl"/>
        </w:rPr>
        <w:t xml:space="preserve">cambia ligeramente año tras año, </w:t>
      </w:r>
      <w:r w:rsidR="008527A1" w:rsidRPr="0022296B">
        <w:rPr>
          <w:rFonts w:ascii="Arial" w:hAnsi="Arial" w:cs="Arial"/>
          <w:sz w:val="22"/>
          <w:szCs w:val="22"/>
          <w:lang w:val="es-ES_tradnl"/>
        </w:rPr>
        <w:t xml:space="preserve">con una tendencia a disminuir evidenciando una acumulación de fracciones lábiles en el suelo. </w:t>
      </w:r>
    </w:p>
    <w:p w:rsidR="00A24F8E" w:rsidRPr="0022296B" w:rsidRDefault="0015793F" w:rsidP="00FD706A">
      <w:pPr>
        <w:jc w:val="both"/>
        <w:rPr>
          <w:rFonts w:ascii="Arial" w:hAnsi="Arial" w:cs="Arial"/>
          <w:sz w:val="22"/>
          <w:szCs w:val="22"/>
          <w:lang w:val="es-ES_tradnl"/>
        </w:rPr>
      </w:pPr>
      <w:r w:rsidRPr="0022296B">
        <w:rPr>
          <w:rFonts w:ascii="Arial" w:hAnsi="Arial" w:cs="Arial"/>
          <w:sz w:val="22"/>
          <w:szCs w:val="22"/>
          <w:lang w:val="es-ES_tradnl"/>
        </w:rPr>
        <w:t xml:space="preserve">* </w:t>
      </w:r>
      <w:r w:rsidR="00F31C35" w:rsidRPr="0022296B">
        <w:rPr>
          <w:rFonts w:ascii="Arial" w:hAnsi="Arial" w:cs="Arial"/>
          <w:sz w:val="22"/>
          <w:szCs w:val="22"/>
          <w:lang w:val="es-ES_tradnl"/>
        </w:rPr>
        <w:t xml:space="preserve">La recuperación media de P en planta entera – estimando un índice de cosecha </w:t>
      </w:r>
      <w:r w:rsidR="008871C3" w:rsidRPr="0022296B">
        <w:rPr>
          <w:rFonts w:ascii="Arial" w:hAnsi="Arial" w:cs="Arial"/>
          <w:sz w:val="22"/>
          <w:szCs w:val="22"/>
          <w:lang w:val="es-ES_tradnl"/>
        </w:rPr>
        <w:t>de referencia</w:t>
      </w:r>
      <w:r w:rsidR="00F31C35" w:rsidRPr="0022296B">
        <w:rPr>
          <w:rFonts w:ascii="Arial" w:hAnsi="Arial" w:cs="Arial"/>
          <w:sz w:val="22"/>
          <w:szCs w:val="22"/>
          <w:lang w:val="es-ES_tradnl"/>
        </w:rPr>
        <w:t>- alcanza a</w:t>
      </w:r>
      <w:r w:rsidR="008871C3" w:rsidRPr="0022296B">
        <w:rPr>
          <w:rFonts w:ascii="Arial" w:hAnsi="Arial" w:cs="Arial"/>
          <w:sz w:val="22"/>
          <w:szCs w:val="22"/>
          <w:lang w:val="es-ES_tradnl"/>
        </w:rPr>
        <w:t>lrededor de</w:t>
      </w:r>
      <w:r w:rsidR="00F31C35" w:rsidRPr="0022296B">
        <w:rPr>
          <w:rFonts w:ascii="Arial" w:hAnsi="Arial" w:cs="Arial"/>
          <w:sz w:val="22"/>
          <w:szCs w:val="22"/>
          <w:lang w:val="es-ES_tradnl"/>
        </w:rPr>
        <w:t xml:space="preserve"> un </w:t>
      </w:r>
      <w:r w:rsidR="00F326BE">
        <w:rPr>
          <w:rFonts w:ascii="Arial" w:hAnsi="Arial" w:cs="Arial"/>
          <w:sz w:val="22"/>
          <w:szCs w:val="22"/>
          <w:lang w:val="es-ES_tradnl"/>
        </w:rPr>
        <w:t>3</w:t>
      </w:r>
      <w:r w:rsidR="008D1593">
        <w:rPr>
          <w:rFonts w:ascii="Arial" w:hAnsi="Arial" w:cs="Arial"/>
          <w:sz w:val="22"/>
          <w:szCs w:val="22"/>
          <w:lang w:val="es-ES_tradnl"/>
        </w:rPr>
        <w:t>8</w:t>
      </w:r>
      <w:r w:rsidR="00F326BE">
        <w:rPr>
          <w:rFonts w:ascii="Arial" w:hAnsi="Arial" w:cs="Arial"/>
          <w:sz w:val="22"/>
          <w:szCs w:val="22"/>
          <w:lang w:val="es-ES_tradnl"/>
        </w:rPr>
        <w:t>,</w:t>
      </w:r>
      <w:r w:rsidR="008D1593">
        <w:rPr>
          <w:rFonts w:ascii="Arial" w:hAnsi="Arial" w:cs="Arial"/>
          <w:sz w:val="22"/>
          <w:szCs w:val="22"/>
          <w:lang w:val="es-ES_tradnl"/>
        </w:rPr>
        <w:t>2</w:t>
      </w:r>
      <w:r w:rsidR="00F419BB">
        <w:rPr>
          <w:rFonts w:ascii="Arial" w:hAnsi="Arial" w:cs="Arial"/>
          <w:sz w:val="22"/>
          <w:szCs w:val="22"/>
          <w:lang w:val="es-ES_tradnl"/>
        </w:rPr>
        <w:t xml:space="preserve"> </w:t>
      </w:r>
      <w:r w:rsidR="00F31C35" w:rsidRPr="0022296B">
        <w:rPr>
          <w:rFonts w:ascii="Arial" w:hAnsi="Arial" w:cs="Arial"/>
          <w:sz w:val="22"/>
          <w:szCs w:val="22"/>
          <w:lang w:val="es-ES_tradnl"/>
        </w:rPr>
        <w:t xml:space="preserve">% del P aplicado, </w:t>
      </w:r>
      <w:r w:rsidR="00F326BE">
        <w:rPr>
          <w:rFonts w:ascii="Arial" w:hAnsi="Arial" w:cs="Arial"/>
          <w:sz w:val="22"/>
          <w:szCs w:val="22"/>
          <w:lang w:val="es-ES_tradnl"/>
        </w:rPr>
        <w:t>valor que se encuentra dentro del rango mencionado</w:t>
      </w:r>
      <w:r w:rsidR="00F31C35" w:rsidRPr="0022296B">
        <w:rPr>
          <w:rFonts w:ascii="Arial" w:hAnsi="Arial" w:cs="Arial"/>
          <w:sz w:val="22"/>
          <w:szCs w:val="22"/>
          <w:lang w:val="es-ES_tradnl"/>
        </w:rPr>
        <w:t xml:space="preserve"> en la bibliografía.</w:t>
      </w:r>
      <w:r w:rsidR="00681937">
        <w:rPr>
          <w:rFonts w:ascii="Arial" w:hAnsi="Arial" w:cs="Arial"/>
          <w:sz w:val="22"/>
          <w:szCs w:val="22"/>
          <w:lang w:val="es-ES_tradnl"/>
        </w:rPr>
        <w:t xml:space="preserve"> </w:t>
      </w:r>
      <w:r w:rsidR="008D1593">
        <w:rPr>
          <w:rFonts w:ascii="Arial" w:hAnsi="Arial" w:cs="Arial"/>
          <w:sz w:val="22"/>
          <w:szCs w:val="22"/>
          <w:lang w:val="es-ES_tradnl"/>
        </w:rPr>
        <w:t>La intensificación agrícola, mediante doble cultivo y siembra de gramíneas fue una buena herramienta para acentuar este proceso y tornar más eficiente el uso del nutrie</w:t>
      </w:r>
      <w:bookmarkStart w:id="0" w:name="_GoBack"/>
      <w:bookmarkEnd w:id="0"/>
      <w:r w:rsidR="008D1593">
        <w:rPr>
          <w:rFonts w:ascii="Arial" w:hAnsi="Arial" w:cs="Arial"/>
          <w:sz w:val="22"/>
          <w:szCs w:val="22"/>
          <w:lang w:val="es-ES_tradnl"/>
        </w:rPr>
        <w:t xml:space="preserve">nte. </w:t>
      </w:r>
    </w:p>
    <w:p w:rsidR="0015793F" w:rsidRPr="0022296B" w:rsidRDefault="0015793F" w:rsidP="00FD706A">
      <w:pPr>
        <w:jc w:val="both"/>
        <w:rPr>
          <w:rFonts w:ascii="Arial" w:hAnsi="Arial" w:cs="Arial"/>
          <w:sz w:val="22"/>
          <w:szCs w:val="22"/>
          <w:lang w:val="es-ES_tradnl"/>
        </w:rPr>
      </w:pPr>
    </w:p>
    <w:p w:rsidR="0015793F" w:rsidRPr="00DF2046" w:rsidRDefault="0022296B" w:rsidP="00FD706A">
      <w:pPr>
        <w:jc w:val="both"/>
        <w:rPr>
          <w:rFonts w:ascii="Arial" w:hAnsi="Arial" w:cs="Arial"/>
          <w:b/>
          <w:caps/>
          <w:szCs w:val="22"/>
          <w:lang w:val="en-US"/>
        </w:rPr>
      </w:pPr>
      <w:r w:rsidRPr="00DF2046">
        <w:rPr>
          <w:rFonts w:ascii="Arial" w:hAnsi="Arial" w:cs="Arial"/>
          <w:b/>
          <w:szCs w:val="22"/>
          <w:lang w:val="en-US"/>
        </w:rPr>
        <w:t xml:space="preserve">BIBLIOGRAFÍA </w:t>
      </w:r>
    </w:p>
    <w:p w:rsidR="00DF2046" w:rsidRPr="00DF2046" w:rsidRDefault="00DF2046" w:rsidP="00DF2046">
      <w:pPr>
        <w:ind w:right="92"/>
        <w:jc w:val="both"/>
        <w:rPr>
          <w:rFonts w:ascii="Arial" w:hAnsi="Arial" w:cs="Arial"/>
          <w:sz w:val="18"/>
          <w:szCs w:val="22"/>
          <w:lang w:val="es-ES_tradnl"/>
        </w:rPr>
      </w:pPr>
      <w:proofErr w:type="spellStart"/>
      <w:r w:rsidRPr="00DF2046">
        <w:rPr>
          <w:rFonts w:ascii="Arial" w:hAnsi="Arial" w:cs="Arial"/>
          <w:b/>
          <w:sz w:val="18"/>
          <w:szCs w:val="22"/>
          <w:lang w:val="en-US"/>
        </w:rPr>
        <w:t>Bauke</w:t>
      </w:r>
      <w:proofErr w:type="spellEnd"/>
      <w:r w:rsidRPr="00DF2046">
        <w:rPr>
          <w:rFonts w:ascii="Arial" w:hAnsi="Arial" w:cs="Arial"/>
          <w:b/>
          <w:sz w:val="18"/>
          <w:szCs w:val="22"/>
          <w:lang w:val="en-US"/>
        </w:rPr>
        <w:t xml:space="preserve">, S. L., von </w:t>
      </w:r>
      <w:proofErr w:type="spellStart"/>
      <w:r w:rsidRPr="00DF2046">
        <w:rPr>
          <w:rFonts w:ascii="Arial" w:hAnsi="Arial" w:cs="Arial"/>
          <w:b/>
          <w:sz w:val="18"/>
          <w:szCs w:val="22"/>
          <w:lang w:val="en-US"/>
        </w:rPr>
        <w:t>Sperber</w:t>
      </w:r>
      <w:proofErr w:type="spellEnd"/>
      <w:r w:rsidRPr="00DF2046">
        <w:rPr>
          <w:rFonts w:ascii="Arial" w:hAnsi="Arial" w:cs="Arial"/>
          <w:b/>
          <w:sz w:val="18"/>
          <w:szCs w:val="22"/>
          <w:lang w:val="en-US"/>
        </w:rPr>
        <w:t xml:space="preserve">, C., </w:t>
      </w:r>
      <w:proofErr w:type="spellStart"/>
      <w:r w:rsidRPr="00DF2046">
        <w:rPr>
          <w:rFonts w:ascii="Arial" w:hAnsi="Arial" w:cs="Arial"/>
          <w:b/>
          <w:sz w:val="18"/>
          <w:szCs w:val="22"/>
          <w:lang w:val="en-US"/>
        </w:rPr>
        <w:t>Tamburini</w:t>
      </w:r>
      <w:proofErr w:type="spellEnd"/>
      <w:r w:rsidRPr="00DF2046">
        <w:rPr>
          <w:rFonts w:ascii="Arial" w:hAnsi="Arial" w:cs="Arial"/>
          <w:b/>
          <w:sz w:val="18"/>
          <w:szCs w:val="22"/>
          <w:lang w:val="en-US"/>
        </w:rPr>
        <w:t xml:space="preserve">, F., </w:t>
      </w:r>
      <w:proofErr w:type="spellStart"/>
      <w:r w:rsidRPr="00DF2046">
        <w:rPr>
          <w:rFonts w:ascii="Arial" w:hAnsi="Arial" w:cs="Arial"/>
          <w:b/>
          <w:sz w:val="18"/>
          <w:szCs w:val="22"/>
          <w:lang w:val="en-US"/>
        </w:rPr>
        <w:t>Gocke</w:t>
      </w:r>
      <w:proofErr w:type="spellEnd"/>
      <w:r w:rsidRPr="00DF2046">
        <w:rPr>
          <w:rFonts w:ascii="Arial" w:hAnsi="Arial" w:cs="Arial"/>
          <w:b/>
          <w:sz w:val="18"/>
          <w:szCs w:val="22"/>
          <w:lang w:val="en-US"/>
        </w:rPr>
        <w:t xml:space="preserve">, M. I., </w:t>
      </w:r>
      <w:proofErr w:type="spellStart"/>
      <w:r w:rsidRPr="00DF2046">
        <w:rPr>
          <w:rFonts w:ascii="Arial" w:hAnsi="Arial" w:cs="Arial"/>
          <w:b/>
          <w:sz w:val="18"/>
          <w:szCs w:val="22"/>
          <w:lang w:val="en-US"/>
        </w:rPr>
        <w:t>Honermeier</w:t>
      </w:r>
      <w:proofErr w:type="spellEnd"/>
      <w:r w:rsidRPr="00DF2046">
        <w:rPr>
          <w:rFonts w:ascii="Arial" w:hAnsi="Arial" w:cs="Arial"/>
          <w:b/>
          <w:sz w:val="18"/>
          <w:szCs w:val="22"/>
          <w:lang w:val="en-US"/>
        </w:rPr>
        <w:t>, B., Schweitzer, K</w:t>
      </w:r>
      <w:proofErr w:type="gramStart"/>
      <w:r w:rsidRPr="00DF2046">
        <w:rPr>
          <w:rFonts w:ascii="Arial" w:hAnsi="Arial" w:cs="Arial"/>
          <w:b/>
          <w:sz w:val="18"/>
          <w:szCs w:val="22"/>
          <w:lang w:val="en-US"/>
        </w:rPr>
        <w:t>., ...</w:t>
      </w:r>
      <w:proofErr w:type="gramEnd"/>
      <w:r w:rsidRPr="00DF2046">
        <w:rPr>
          <w:rFonts w:ascii="Arial" w:hAnsi="Arial" w:cs="Arial"/>
          <w:b/>
          <w:sz w:val="18"/>
          <w:szCs w:val="22"/>
          <w:lang w:val="en-US"/>
        </w:rPr>
        <w:t xml:space="preserve"> &amp; </w:t>
      </w:r>
      <w:proofErr w:type="spellStart"/>
      <w:r w:rsidRPr="00DF2046">
        <w:rPr>
          <w:rFonts w:ascii="Arial" w:hAnsi="Arial" w:cs="Arial"/>
          <w:b/>
          <w:sz w:val="18"/>
          <w:szCs w:val="22"/>
          <w:lang w:val="en-US"/>
        </w:rPr>
        <w:t>Amelung</w:t>
      </w:r>
      <w:proofErr w:type="spellEnd"/>
      <w:r w:rsidRPr="00DF2046">
        <w:rPr>
          <w:rFonts w:ascii="Arial" w:hAnsi="Arial" w:cs="Arial"/>
          <w:b/>
          <w:sz w:val="18"/>
          <w:szCs w:val="22"/>
          <w:lang w:val="en-US"/>
        </w:rPr>
        <w:t xml:space="preserve">, W. (2018). </w:t>
      </w:r>
      <w:r w:rsidRPr="00DF2046">
        <w:rPr>
          <w:rFonts w:ascii="Arial" w:hAnsi="Arial" w:cs="Arial"/>
          <w:sz w:val="18"/>
          <w:szCs w:val="22"/>
          <w:lang w:val="en-US"/>
        </w:rPr>
        <w:t>Subsoil phosphorus is affected by fertilization regime in long</w:t>
      </w:r>
      <w:r w:rsidRPr="00DF2046">
        <w:rPr>
          <w:rFonts w:ascii="Cambria Math" w:hAnsi="Cambria Math" w:cs="Cambria Math"/>
          <w:sz w:val="18"/>
          <w:szCs w:val="22"/>
          <w:lang w:val="en-US"/>
        </w:rPr>
        <w:t>‐</w:t>
      </w:r>
      <w:r w:rsidRPr="00DF2046">
        <w:rPr>
          <w:rFonts w:ascii="Arial" w:hAnsi="Arial" w:cs="Arial"/>
          <w:sz w:val="18"/>
          <w:szCs w:val="22"/>
          <w:lang w:val="en-US"/>
        </w:rPr>
        <w:t xml:space="preserve">term agricultural experimental trials. </w:t>
      </w:r>
      <w:proofErr w:type="spellStart"/>
      <w:r w:rsidRPr="00DF2046">
        <w:rPr>
          <w:rFonts w:ascii="Arial" w:hAnsi="Arial" w:cs="Arial"/>
          <w:sz w:val="18"/>
          <w:szCs w:val="22"/>
          <w:lang w:val="es-ES_tradnl"/>
        </w:rPr>
        <w:t>European</w:t>
      </w:r>
      <w:proofErr w:type="spellEnd"/>
      <w:r w:rsidRPr="00DF2046">
        <w:rPr>
          <w:rFonts w:ascii="Arial" w:hAnsi="Arial" w:cs="Arial"/>
          <w:sz w:val="18"/>
          <w:szCs w:val="22"/>
          <w:lang w:val="es-ES_tradnl"/>
        </w:rPr>
        <w:t xml:space="preserve"> </w:t>
      </w:r>
      <w:proofErr w:type="spellStart"/>
      <w:r w:rsidRPr="00DF2046">
        <w:rPr>
          <w:rFonts w:ascii="Arial" w:hAnsi="Arial" w:cs="Arial"/>
          <w:sz w:val="18"/>
          <w:szCs w:val="22"/>
          <w:lang w:val="es-ES_tradnl"/>
        </w:rPr>
        <w:t>Journal</w:t>
      </w:r>
      <w:proofErr w:type="spellEnd"/>
      <w:r w:rsidRPr="00DF2046">
        <w:rPr>
          <w:rFonts w:ascii="Arial" w:hAnsi="Arial" w:cs="Arial"/>
          <w:sz w:val="18"/>
          <w:szCs w:val="22"/>
          <w:lang w:val="es-ES_tradnl"/>
        </w:rPr>
        <w:t xml:space="preserve"> of </w:t>
      </w:r>
      <w:proofErr w:type="spellStart"/>
      <w:r w:rsidRPr="00DF2046">
        <w:rPr>
          <w:rFonts w:ascii="Arial" w:hAnsi="Arial" w:cs="Arial"/>
          <w:sz w:val="18"/>
          <w:szCs w:val="22"/>
          <w:lang w:val="es-ES_tradnl"/>
        </w:rPr>
        <w:t>Soil</w:t>
      </w:r>
      <w:proofErr w:type="spellEnd"/>
      <w:r w:rsidRPr="00DF2046">
        <w:rPr>
          <w:rFonts w:ascii="Arial" w:hAnsi="Arial" w:cs="Arial"/>
          <w:sz w:val="18"/>
          <w:szCs w:val="22"/>
          <w:lang w:val="es-ES_tradnl"/>
        </w:rPr>
        <w:t xml:space="preserve"> </w:t>
      </w:r>
      <w:proofErr w:type="spellStart"/>
      <w:r w:rsidRPr="00DF2046">
        <w:rPr>
          <w:rFonts w:ascii="Arial" w:hAnsi="Arial" w:cs="Arial"/>
          <w:sz w:val="18"/>
          <w:szCs w:val="22"/>
          <w:lang w:val="es-ES_tradnl"/>
        </w:rPr>
        <w:t>Science</w:t>
      </w:r>
      <w:proofErr w:type="spellEnd"/>
      <w:r w:rsidRPr="00DF2046">
        <w:rPr>
          <w:rFonts w:ascii="Arial" w:hAnsi="Arial" w:cs="Arial"/>
          <w:sz w:val="18"/>
          <w:szCs w:val="22"/>
          <w:lang w:val="es-ES_tradnl"/>
        </w:rPr>
        <w:t>, 69(1), 103-112.</w:t>
      </w:r>
    </w:p>
    <w:p w:rsidR="00F96DAB" w:rsidRDefault="00F96DAB" w:rsidP="00DF2046">
      <w:pPr>
        <w:ind w:right="92"/>
        <w:jc w:val="both"/>
        <w:rPr>
          <w:rFonts w:ascii="Arial" w:hAnsi="Arial" w:cs="Arial"/>
          <w:sz w:val="18"/>
          <w:szCs w:val="22"/>
          <w:lang w:val="es-ES_tradnl"/>
        </w:rPr>
      </w:pPr>
      <w:proofErr w:type="spellStart"/>
      <w:r w:rsidRPr="00CD1F91">
        <w:rPr>
          <w:rFonts w:ascii="Arial" w:hAnsi="Arial" w:cs="Arial"/>
          <w:b/>
          <w:sz w:val="18"/>
          <w:szCs w:val="22"/>
          <w:lang w:val="es-ES_tradnl"/>
        </w:rPr>
        <w:t>Berardo</w:t>
      </w:r>
      <w:proofErr w:type="spellEnd"/>
      <w:r w:rsidRPr="00CD1F91">
        <w:rPr>
          <w:rFonts w:ascii="Arial" w:hAnsi="Arial" w:cs="Arial"/>
          <w:b/>
          <w:sz w:val="18"/>
          <w:szCs w:val="22"/>
          <w:lang w:val="es-ES_tradnl"/>
        </w:rPr>
        <w:t xml:space="preserve">, A. 2003. </w:t>
      </w:r>
      <w:r w:rsidRPr="00CD1F91">
        <w:rPr>
          <w:rFonts w:ascii="Arial" w:hAnsi="Arial" w:cs="Arial"/>
          <w:sz w:val="18"/>
          <w:szCs w:val="22"/>
          <w:lang w:val="es-ES_tradnl"/>
        </w:rPr>
        <w:t>Manejo del fósforo en los sistemas de producción pampeanos. In Simposio “El fósforo en la</w:t>
      </w:r>
      <w:r>
        <w:rPr>
          <w:rFonts w:ascii="Arial" w:hAnsi="Arial" w:cs="Arial"/>
          <w:sz w:val="18"/>
          <w:szCs w:val="22"/>
          <w:lang w:val="es-ES_tradnl"/>
        </w:rPr>
        <w:t xml:space="preserve"> </w:t>
      </w:r>
      <w:r w:rsidRPr="00CD1F91">
        <w:rPr>
          <w:rFonts w:ascii="Arial" w:hAnsi="Arial" w:cs="Arial"/>
          <w:sz w:val="18"/>
          <w:szCs w:val="22"/>
          <w:lang w:val="es-ES_tradnl"/>
        </w:rPr>
        <w:t>agricultura Argentina”. INPOFOS. Rosario, 8 y 9 de mayo del 2003.</w:t>
      </w:r>
    </w:p>
    <w:p w:rsidR="00DF2046" w:rsidRDefault="00DF2046" w:rsidP="00DF2046">
      <w:pPr>
        <w:ind w:right="92"/>
        <w:jc w:val="both"/>
        <w:rPr>
          <w:rFonts w:ascii="Arial" w:hAnsi="Arial" w:cs="Arial"/>
          <w:sz w:val="18"/>
          <w:szCs w:val="22"/>
          <w:lang w:val="es-AR"/>
        </w:rPr>
      </w:pPr>
      <w:proofErr w:type="spellStart"/>
      <w:r w:rsidRPr="005D1A6D">
        <w:rPr>
          <w:rFonts w:ascii="Arial" w:hAnsi="Arial" w:cs="Arial"/>
          <w:b/>
          <w:sz w:val="18"/>
          <w:szCs w:val="22"/>
          <w:lang w:val="es-ES_tradnl"/>
        </w:rPr>
        <w:t>Berardo</w:t>
      </w:r>
      <w:proofErr w:type="spellEnd"/>
      <w:r w:rsidRPr="005D1A6D">
        <w:rPr>
          <w:rFonts w:ascii="Arial" w:hAnsi="Arial" w:cs="Arial"/>
          <w:b/>
          <w:sz w:val="18"/>
          <w:szCs w:val="22"/>
          <w:lang w:val="es-ES_tradnl"/>
        </w:rPr>
        <w:t xml:space="preserve"> 2013.</w:t>
      </w:r>
      <w:r>
        <w:rPr>
          <w:rFonts w:ascii="Arial" w:hAnsi="Arial" w:cs="Arial"/>
          <w:sz w:val="18"/>
          <w:szCs w:val="22"/>
          <w:lang w:val="es-ES_tradnl"/>
        </w:rPr>
        <w:t xml:space="preserve"> </w:t>
      </w:r>
      <w:r w:rsidRPr="0016451E">
        <w:rPr>
          <w:rFonts w:ascii="Arial" w:hAnsi="Arial" w:cs="Arial"/>
          <w:sz w:val="18"/>
          <w:szCs w:val="22"/>
          <w:lang w:val="es-ES_tradnl"/>
        </w:rPr>
        <w:t>Red de Ensayos en Nutrición de Cultivos</w:t>
      </w:r>
      <w:r>
        <w:rPr>
          <w:rFonts w:ascii="Arial" w:hAnsi="Arial" w:cs="Arial"/>
          <w:sz w:val="18"/>
          <w:szCs w:val="22"/>
          <w:lang w:val="es-ES_tradnl"/>
        </w:rPr>
        <w:t xml:space="preserve">. </w:t>
      </w:r>
      <w:r w:rsidRPr="0016451E">
        <w:rPr>
          <w:rFonts w:ascii="Arial" w:hAnsi="Arial" w:cs="Arial"/>
          <w:sz w:val="18"/>
          <w:szCs w:val="22"/>
          <w:lang w:val="es-ES_tradnl"/>
        </w:rPr>
        <w:t xml:space="preserve">Región CREA Sur de Santa </w:t>
      </w:r>
      <w:proofErr w:type="spellStart"/>
      <w:r w:rsidRPr="0016451E">
        <w:rPr>
          <w:rFonts w:ascii="Arial" w:hAnsi="Arial" w:cs="Arial"/>
          <w:sz w:val="18"/>
          <w:szCs w:val="22"/>
          <w:lang w:val="es-ES_tradnl"/>
        </w:rPr>
        <w:t>Fe</w:t>
      </w:r>
      <w:r>
        <w:rPr>
          <w:rFonts w:ascii="Arial" w:hAnsi="Arial" w:cs="Arial"/>
          <w:sz w:val="18"/>
          <w:szCs w:val="22"/>
          <w:lang w:val="es-ES_tradnl"/>
        </w:rPr>
        <w:t>.</w:t>
      </w:r>
      <w:r w:rsidRPr="0016451E">
        <w:rPr>
          <w:rFonts w:ascii="Arial" w:hAnsi="Arial" w:cs="Arial"/>
          <w:sz w:val="18"/>
          <w:szCs w:val="22"/>
          <w:lang w:val="es-ES_tradnl"/>
        </w:rPr>
        <w:t>Resultados</w:t>
      </w:r>
      <w:proofErr w:type="spellEnd"/>
      <w:r w:rsidRPr="0016451E">
        <w:rPr>
          <w:rFonts w:ascii="Arial" w:hAnsi="Arial" w:cs="Arial"/>
          <w:sz w:val="18"/>
          <w:szCs w:val="22"/>
          <w:lang w:val="es-ES_tradnl"/>
        </w:rPr>
        <w:t xml:space="preserve"> de la campaña 2012/13: Maíz</w:t>
      </w:r>
      <w:r>
        <w:rPr>
          <w:rFonts w:ascii="Arial" w:hAnsi="Arial" w:cs="Arial"/>
          <w:sz w:val="18"/>
          <w:szCs w:val="22"/>
          <w:lang w:val="es-ES_tradnl"/>
        </w:rPr>
        <w:t xml:space="preserve">, 25 pp. </w:t>
      </w:r>
      <w:r w:rsidRPr="00DF2046">
        <w:rPr>
          <w:rFonts w:ascii="Arial" w:hAnsi="Arial" w:cs="Arial"/>
          <w:sz w:val="18"/>
          <w:szCs w:val="22"/>
          <w:lang w:val="es-AR"/>
        </w:rPr>
        <w:t xml:space="preserve">Disponible on-line </w:t>
      </w:r>
      <w:hyperlink r:id="rId26" w:history="1">
        <w:r w:rsidRPr="00DF2046">
          <w:rPr>
            <w:rStyle w:val="Hipervnculo"/>
            <w:rFonts w:ascii="Arial" w:hAnsi="Arial" w:cs="Arial"/>
            <w:sz w:val="18"/>
            <w:szCs w:val="22"/>
            <w:lang w:val="es-AR"/>
          </w:rPr>
          <w:t>www.ipni.net/lacs</w:t>
        </w:r>
      </w:hyperlink>
      <w:r w:rsidRPr="00DF2046">
        <w:rPr>
          <w:rFonts w:ascii="Arial" w:hAnsi="Arial" w:cs="Arial"/>
          <w:sz w:val="18"/>
          <w:szCs w:val="22"/>
          <w:lang w:val="es-AR"/>
        </w:rPr>
        <w:t xml:space="preserve"> </w:t>
      </w:r>
    </w:p>
    <w:p w:rsidR="00F96DAB" w:rsidRPr="00DF2046" w:rsidRDefault="00F96DAB" w:rsidP="00DF2046">
      <w:pPr>
        <w:ind w:right="92"/>
        <w:jc w:val="both"/>
        <w:rPr>
          <w:rFonts w:ascii="Arial" w:hAnsi="Arial" w:cs="Arial"/>
          <w:sz w:val="18"/>
          <w:szCs w:val="22"/>
          <w:lang w:val="es-AR"/>
        </w:rPr>
      </w:pPr>
      <w:proofErr w:type="spellStart"/>
      <w:r w:rsidRPr="005D1A6D">
        <w:rPr>
          <w:rFonts w:ascii="Arial" w:hAnsi="Arial" w:cs="Arial"/>
          <w:b/>
          <w:sz w:val="18"/>
          <w:szCs w:val="22"/>
          <w:lang w:val="es-ES_tradnl"/>
        </w:rPr>
        <w:t>Boxler</w:t>
      </w:r>
      <w:proofErr w:type="spellEnd"/>
      <w:r w:rsidRPr="005D1A6D">
        <w:rPr>
          <w:rFonts w:ascii="Arial" w:hAnsi="Arial" w:cs="Arial"/>
          <w:b/>
          <w:sz w:val="18"/>
          <w:szCs w:val="22"/>
          <w:lang w:val="es-ES_tradnl"/>
        </w:rPr>
        <w:t xml:space="preserve">, M., F. O. García, A. </w:t>
      </w:r>
      <w:proofErr w:type="spellStart"/>
      <w:r w:rsidRPr="005D1A6D">
        <w:rPr>
          <w:rFonts w:ascii="Arial" w:hAnsi="Arial" w:cs="Arial"/>
          <w:b/>
          <w:sz w:val="18"/>
          <w:szCs w:val="22"/>
          <w:lang w:val="es-ES_tradnl"/>
        </w:rPr>
        <w:t>Correndo</w:t>
      </w:r>
      <w:proofErr w:type="spellEnd"/>
      <w:r w:rsidRPr="005D1A6D">
        <w:rPr>
          <w:rFonts w:ascii="Arial" w:hAnsi="Arial" w:cs="Arial"/>
          <w:b/>
          <w:sz w:val="18"/>
          <w:szCs w:val="22"/>
          <w:lang w:val="es-ES_tradnl"/>
        </w:rPr>
        <w:t xml:space="preserve">, S. Gallo, R. </w:t>
      </w:r>
      <w:proofErr w:type="spellStart"/>
      <w:r w:rsidRPr="005D1A6D">
        <w:rPr>
          <w:rFonts w:ascii="Arial" w:hAnsi="Arial" w:cs="Arial"/>
          <w:b/>
          <w:sz w:val="18"/>
          <w:szCs w:val="22"/>
          <w:lang w:val="es-ES_tradnl"/>
        </w:rPr>
        <w:t>Pozzi</w:t>
      </w:r>
      <w:proofErr w:type="spellEnd"/>
      <w:r w:rsidRPr="005D1A6D">
        <w:rPr>
          <w:rFonts w:ascii="Arial" w:hAnsi="Arial" w:cs="Arial"/>
          <w:b/>
          <w:sz w:val="18"/>
          <w:szCs w:val="22"/>
          <w:lang w:val="es-ES_tradnl"/>
        </w:rPr>
        <w:t xml:space="preserve">, M. Uranga, F. </w:t>
      </w:r>
      <w:proofErr w:type="spellStart"/>
      <w:r w:rsidRPr="005D1A6D">
        <w:rPr>
          <w:rFonts w:ascii="Arial" w:hAnsi="Arial" w:cs="Arial"/>
          <w:b/>
          <w:sz w:val="18"/>
          <w:szCs w:val="22"/>
          <w:lang w:val="es-ES_tradnl"/>
        </w:rPr>
        <w:t>Bauschen</w:t>
      </w:r>
      <w:proofErr w:type="spellEnd"/>
      <w:r w:rsidRPr="005D1A6D">
        <w:rPr>
          <w:rFonts w:ascii="Arial" w:hAnsi="Arial" w:cs="Arial"/>
          <w:b/>
          <w:sz w:val="18"/>
          <w:szCs w:val="22"/>
          <w:lang w:val="es-ES_tradnl"/>
        </w:rPr>
        <w:t xml:space="preserve">, H. Rivero, N. </w:t>
      </w:r>
      <w:proofErr w:type="spellStart"/>
      <w:r w:rsidRPr="005D1A6D">
        <w:rPr>
          <w:rFonts w:ascii="Arial" w:hAnsi="Arial" w:cs="Arial"/>
          <w:b/>
          <w:sz w:val="18"/>
          <w:szCs w:val="22"/>
          <w:lang w:val="es-ES_tradnl"/>
        </w:rPr>
        <w:t>Reussi</w:t>
      </w:r>
      <w:proofErr w:type="spellEnd"/>
      <w:r w:rsidRPr="005D1A6D">
        <w:rPr>
          <w:rFonts w:ascii="Arial" w:hAnsi="Arial" w:cs="Arial"/>
          <w:b/>
          <w:sz w:val="18"/>
          <w:szCs w:val="22"/>
          <w:lang w:val="es-ES_tradnl"/>
        </w:rPr>
        <w:t xml:space="preserve"> Calvo y A. </w:t>
      </w:r>
    </w:p>
    <w:p w:rsidR="00DF2046" w:rsidRPr="00DF2046" w:rsidRDefault="00DF2046" w:rsidP="00DF2046">
      <w:pPr>
        <w:jc w:val="both"/>
        <w:rPr>
          <w:rFonts w:ascii="Arial" w:hAnsi="Arial" w:cs="Arial"/>
          <w:color w:val="222222"/>
          <w:sz w:val="20"/>
          <w:szCs w:val="20"/>
          <w:lang w:val="en-US"/>
        </w:rPr>
      </w:pPr>
      <w:proofErr w:type="spellStart"/>
      <w:r w:rsidRPr="00DF2046">
        <w:rPr>
          <w:rFonts w:ascii="Arial" w:hAnsi="Arial" w:cs="Arial"/>
          <w:b/>
          <w:color w:val="222222"/>
          <w:sz w:val="20"/>
          <w:szCs w:val="20"/>
          <w:lang w:val="en-US"/>
        </w:rPr>
        <w:t>Buczko</w:t>
      </w:r>
      <w:proofErr w:type="spellEnd"/>
      <w:r w:rsidRPr="00DF2046">
        <w:rPr>
          <w:rFonts w:ascii="Arial" w:hAnsi="Arial" w:cs="Arial"/>
          <w:b/>
          <w:color w:val="222222"/>
          <w:sz w:val="20"/>
          <w:szCs w:val="20"/>
          <w:lang w:val="en-US"/>
        </w:rPr>
        <w:t xml:space="preserve">, U., van </w:t>
      </w:r>
      <w:proofErr w:type="spellStart"/>
      <w:r w:rsidRPr="00DF2046">
        <w:rPr>
          <w:rFonts w:ascii="Arial" w:hAnsi="Arial" w:cs="Arial"/>
          <w:b/>
          <w:color w:val="222222"/>
          <w:sz w:val="20"/>
          <w:szCs w:val="20"/>
          <w:lang w:val="en-US"/>
        </w:rPr>
        <w:t>Laak</w:t>
      </w:r>
      <w:proofErr w:type="spellEnd"/>
      <w:r w:rsidRPr="00DF2046">
        <w:rPr>
          <w:rFonts w:ascii="Arial" w:hAnsi="Arial" w:cs="Arial"/>
          <w:b/>
          <w:color w:val="222222"/>
          <w:sz w:val="20"/>
          <w:szCs w:val="20"/>
          <w:lang w:val="en-US"/>
        </w:rPr>
        <w:t xml:space="preserve">, M., </w:t>
      </w:r>
      <w:proofErr w:type="spellStart"/>
      <w:r w:rsidRPr="00DF2046">
        <w:rPr>
          <w:rFonts w:ascii="Arial" w:hAnsi="Arial" w:cs="Arial"/>
          <w:b/>
          <w:color w:val="222222"/>
          <w:sz w:val="20"/>
          <w:szCs w:val="20"/>
          <w:lang w:val="en-US"/>
        </w:rPr>
        <w:t>Eichler-Löbermann</w:t>
      </w:r>
      <w:proofErr w:type="spellEnd"/>
      <w:r w:rsidRPr="00DF2046">
        <w:rPr>
          <w:rFonts w:ascii="Arial" w:hAnsi="Arial" w:cs="Arial"/>
          <w:b/>
          <w:color w:val="222222"/>
          <w:sz w:val="20"/>
          <w:szCs w:val="20"/>
          <w:lang w:val="en-US"/>
        </w:rPr>
        <w:t xml:space="preserve">, B., </w:t>
      </w:r>
      <w:proofErr w:type="spellStart"/>
      <w:r w:rsidRPr="00DF2046">
        <w:rPr>
          <w:rFonts w:ascii="Arial" w:hAnsi="Arial" w:cs="Arial"/>
          <w:b/>
          <w:color w:val="222222"/>
          <w:sz w:val="20"/>
          <w:szCs w:val="20"/>
          <w:lang w:val="en-US"/>
        </w:rPr>
        <w:t>Gans</w:t>
      </w:r>
      <w:proofErr w:type="spellEnd"/>
      <w:r w:rsidRPr="00DF2046">
        <w:rPr>
          <w:rFonts w:ascii="Arial" w:hAnsi="Arial" w:cs="Arial"/>
          <w:b/>
          <w:color w:val="222222"/>
          <w:sz w:val="20"/>
          <w:szCs w:val="20"/>
          <w:lang w:val="en-US"/>
        </w:rPr>
        <w:t xml:space="preserve">, W., </w:t>
      </w:r>
      <w:proofErr w:type="spellStart"/>
      <w:r w:rsidRPr="00DF2046">
        <w:rPr>
          <w:rFonts w:ascii="Arial" w:hAnsi="Arial" w:cs="Arial"/>
          <w:b/>
          <w:color w:val="222222"/>
          <w:sz w:val="20"/>
          <w:szCs w:val="20"/>
          <w:lang w:val="en-US"/>
        </w:rPr>
        <w:t>Merbach</w:t>
      </w:r>
      <w:proofErr w:type="spellEnd"/>
      <w:r w:rsidRPr="00DF2046">
        <w:rPr>
          <w:rFonts w:ascii="Arial" w:hAnsi="Arial" w:cs="Arial"/>
          <w:b/>
          <w:color w:val="222222"/>
          <w:sz w:val="20"/>
          <w:szCs w:val="20"/>
          <w:lang w:val="en-US"/>
        </w:rPr>
        <w:t xml:space="preserve">, I., </w:t>
      </w:r>
      <w:proofErr w:type="spellStart"/>
      <w:r w:rsidRPr="00DF2046">
        <w:rPr>
          <w:rFonts w:ascii="Arial" w:hAnsi="Arial" w:cs="Arial"/>
          <w:b/>
          <w:color w:val="222222"/>
          <w:sz w:val="20"/>
          <w:szCs w:val="20"/>
          <w:lang w:val="en-US"/>
        </w:rPr>
        <w:t>Panten</w:t>
      </w:r>
      <w:proofErr w:type="spellEnd"/>
      <w:r w:rsidRPr="00DF2046">
        <w:rPr>
          <w:rFonts w:ascii="Arial" w:hAnsi="Arial" w:cs="Arial"/>
          <w:b/>
          <w:color w:val="222222"/>
          <w:sz w:val="20"/>
          <w:szCs w:val="20"/>
          <w:lang w:val="en-US"/>
        </w:rPr>
        <w:t>, K</w:t>
      </w:r>
      <w:proofErr w:type="gramStart"/>
      <w:r w:rsidRPr="00DF2046">
        <w:rPr>
          <w:rFonts w:ascii="Arial" w:hAnsi="Arial" w:cs="Arial"/>
          <w:b/>
          <w:color w:val="222222"/>
          <w:sz w:val="20"/>
          <w:szCs w:val="20"/>
          <w:lang w:val="en-US"/>
        </w:rPr>
        <w:t>., ...</w:t>
      </w:r>
      <w:proofErr w:type="gramEnd"/>
      <w:r w:rsidRPr="00DF2046">
        <w:rPr>
          <w:rFonts w:ascii="Arial" w:hAnsi="Arial" w:cs="Arial"/>
          <w:b/>
          <w:color w:val="222222"/>
          <w:sz w:val="20"/>
          <w:szCs w:val="20"/>
          <w:lang w:val="en-US"/>
        </w:rPr>
        <w:t xml:space="preserve"> &amp; von </w:t>
      </w:r>
      <w:proofErr w:type="spellStart"/>
      <w:r w:rsidRPr="00DF2046">
        <w:rPr>
          <w:rFonts w:ascii="Arial" w:hAnsi="Arial" w:cs="Arial"/>
          <w:b/>
          <w:color w:val="222222"/>
          <w:sz w:val="20"/>
          <w:szCs w:val="20"/>
          <w:lang w:val="en-US"/>
        </w:rPr>
        <w:t>Tucher</w:t>
      </w:r>
      <w:proofErr w:type="spellEnd"/>
      <w:r w:rsidRPr="00DF2046">
        <w:rPr>
          <w:rFonts w:ascii="Arial" w:hAnsi="Arial" w:cs="Arial"/>
          <w:b/>
          <w:color w:val="222222"/>
          <w:sz w:val="20"/>
          <w:szCs w:val="20"/>
          <w:lang w:val="en-US"/>
        </w:rPr>
        <w:t xml:space="preserve">, S. (2018). </w:t>
      </w:r>
      <w:r w:rsidRPr="00DF2046">
        <w:rPr>
          <w:rFonts w:ascii="Arial" w:hAnsi="Arial" w:cs="Arial"/>
          <w:color w:val="222222"/>
          <w:sz w:val="20"/>
          <w:szCs w:val="20"/>
          <w:lang w:val="en-US"/>
        </w:rPr>
        <w:t xml:space="preserve">Re-evaluation of the yield response to phosphorus fertilization based on meta-analyses of long-term field experiments. </w:t>
      </w:r>
      <w:proofErr w:type="spellStart"/>
      <w:r w:rsidRPr="00DF2046">
        <w:rPr>
          <w:rFonts w:ascii="Arial" w:hAnsi="Arial" w:cs="Arial"/>
          <w:color w:val="222222"/>
          <w:sz w:val="20"/>
          <w:szCs w:val="20"/>
          <w:lang w:val="en-US"/>
        </w:rPr>
        <w:t>Ambio</w:t>
      </w:r>
      <w:proofErr w:type="spellEnd"/>
      <w:r w:rsidRPr="00DF2046">
        <w:rPr>
          <w:rFonts w:ascii="Arial" w:hAnsi="Arial" w:cs="Arial"/>
          <w:color w:val="222222"/>
          <w:sz w:val="20"/>
          <w:szCs w:val="20"/>
          <w:lang w:val="en-US"/>
        </w:rPr>
        <w:t>, 47(1), 50-61.</w:t>
      </w:r>
    </w:p>
    <w:p w:rsidR="00F96DAB" w:rsidRPr="00A00B47" w:rsidRDefault="00F96DAB" w:rsidP="00DF2046">
      <w:pPr>
        <w:jc w:val="both"/>
        <w:rPr>
          <w:rFonts w:ascii="Arial" w:hAnsi="Arial" w:cs="Arial"/>
          <w:color w:val="222222"/>
          <w:sz w:val="20"/>
          <w:szCs w:val="20"/>
        </w:rPr>
      </w:pPr>
      <w:r w:rsidRPr="00F96DAB">
        <w:rPr>
          <w:rFonts w:ascii="Arial" w:hAnsi="Arial" w:cs="Arial"/>
          <w:b/>
          <w:color w:val="222222"/>
          <w:sz w:val="20"/>
          <w:szCs w:val="20"/>
          <w:lang w:val="en-US"/>
        </w:rPr>
        <w:lastRenderedPageBreak/>
        <w:t xml:space="preserve">Carver, R. E., Nelson, N. O., Abel, D. S., </w:t>
      </w:r>
      <w:proofErr w:type="spellStart"/>
      <w:r w:rsidRPr="00F96DAB">
        <w:rPr>
          <w:rFonts w:ascii="Arial" w:hAnsi="Arial" w:cs="Arial"/>
          <w:b/>
          <w:color w:val="222222"/>
          <w:sz w:val="20"/>
          <w:szCs w:val="20"/>
          <w:lang w:val="en-US"/>
        </w:rPr>
        <w:t>Roozeboom</w:t>
      </w:r>
      <w:proofErr w:type="spellEnd"/>
      <w:r w:rsidRPr="00F96DAB">
        <w:rPr>
          <w:rFonts w:ascii="Arial" w:hAnsi="Arial" w:cs="Arial"/>
          <w:b/>
          <w:color w:val="222222"/>
          <w:sz w:val="20"/>
          <w:szCs w:val="20"/>
          <w:lang w:val="en-US"/>
        </w:rPr>
        <w:t xml:space="preserve">, K., </w:t>
      </w:r>
      <w:proofErr w:type="spellStart"/>
      <w:r w:rsidRPr="00F96DAB">
        <w:rPr>
          <w:rFonts w:ascii="Arial" w:hAnsi="Arial" w:cs="Arial"/>
          <w:b/>
          <w:color w:val="222222"/>
          <w:sz w:val="20"/>
          <w:szCs w:val="20"/>
          <w:lang w:val="en-US"/>
        </w:rPr>
        <w:t>Kluitenberg</w:t>
      </w:r>
      <w:proofErr w:type="spellEnd"/>
      <w:r w:rsidRPr="00F96DAB">
        <w:rPr>
          <w:rFonts w:ascii="Arial" w:hAnsi="Arial" w:cs="Arial"/>
          <w:b/>
          <w:color w:val="222222"/>
          <w:sz w:val="20"/>
          <w:szCs w:val="20"/>
          <w:lang w:val="en-US"/>
        </w:rPr>
        <w:t xml:space="preserve">, G. J., Tomlinson, P. J., &amp; Williams, J. R. </w:t>
      </w:r>
      <w:r w:rsidRPr="00F96DAB">
        <w:rPr>
          <w:rFonts w:ascii="Arial" w:hAnsi="Arial" w:cs="Arial"/>
          <w:color w:val="222222"/>
          <w:sz w:val="20"/>
          <w:szCs w:val="20"/>
          <w:lang w:val="en-US"/>
        </w:rPr>
        <w:t xml:space="preserve">(2017). Impact of Cover Crops and Phosphorus Fertilizer Management on Nutrient Cycling in No-Tillage Corn-Soybean Rotation. </w:t>
      </w:r>
      <w:r w:rsidRPr="00A00B47">
        <w:rPr>
          <w:rFonts w:ascii="Arial" w:hAnsi="Arial" w:cs="Arial"/>
          <w:i/>
          <w:iCs/>
          <w:color w:val="222222"/>
          <w:sz w:val="20"/>
          <w:szCs w:val="20"/>
        </w:rPr>
        <w:t xml:space="preserve">Kansas </w:t>
      </w:r>
      <w:proofErr w:type="spellStart"/>
      <w:r w:rsidRPr="00A00B47">
        <w:rPr>
          <w:rFonts w:ascii="Arial" w:hAnsi="Arial" w:cs="Arial"/>
          <w:i/>
          <w:iCs/>
          <w:color w:val="222222"/>
          <w:sz w:val="20"/>
          <w:szCs w:val="20"/>
        </w:rPr>
        <w:t>Agricultural</w:t>
      </w:r>
      <w:proofErr w:type="spellEnd"/>
      <w:r w:rsidRPr="00A00B47">
        <w:rPr>
          <w:rFonts w:ascii="Arial" w:hAnsi="Arial" w:cs="Arial"/>
          <w:i/>
          <w:iCs/>
          <w:color w:val="222222"/>
          <w:sz w:val="20"/>
          <w:szCs w:val="20"/>
        </w:rPr>
        <w:t xml:space="preserve"> </w:t>
      </w:r>
      <w:proofErr w:type="spellStart"/>
      <w:r w:rsidRPr="00A00B47">
        <w:rPr>
          <w:rFonts w:ascii="Arial" w:hAnsi="Arial" w:cs="Arial"/>
          <w:i/>
          <w:iCs/>
          <w:color w:val="222222"/>
          <w:sz w:val="20"/>
          <w:szCs w:val="20"/>
        </w:rPr>
        <w:t>Experiment</w:t>
      </w:r>
      <w:proofErr w:type="spellEnd"/>
      <w:r w:rsidRPr="00A00B47">
        <w:rPr>
          <w:rFonts w:ascii="Arial" w:hAnsi="Arial" w:cs="Arial"/>
          <w:i/>
          <w:iCs/>
          <w:color w:val="222222"/>
          <w:sz w:val="20"/>
          <w:szCs w:val="20"/>
        </w:rPr>
        <w:t xml:space="preserve"> </w:t>
      </w:r>
      <w:proofErr w:type="spellStart"/>
      <w:r w:rsidRPr="00A00B47">
        <w:rPr>
          <w:rFonts w:ascii="Arial" w:hAnsi="Arial" w:cs="Arial"/>
          <w:i/>
          <w:iCs/>
          <w:color w:val="222222"/>
          <w:sz w:val="20"/>
          <w:szCs w:val="20"/>
        </w:rPr>
        <w:t>Station</w:t>
      </w:r>
      <w:proofErr w:type="spellEnd"/>
      <w:r w:rsidRPr="00A00B47">
        <w:rPr>
          <w:rFonts w:ascii="Arial" w:hAnsi="Arial" w:cs="Arial"/>
          <w:i/>
          <w:iCs/>
          <w:color w:val="222222"/>
          <w:sz w:val="20"/>
          <w:szCs w:val="20"/>
        </w:rPr>
        <w:t xml:space="preserve"> </w:t>
      </w:r>
      <w:proofErr w:type="spellStart"/>
      <w:r w:rsidRPr="00A00B47">
        <w:rPr>
          <w:rFonts w:ascii="Arial" w:hAnsi="Arial" w:cs="Arial"/>
          <w:i/>
          <w:iCs/>
          <w:color w:val="222222"/>
          <w:sz w:val="20"/>
          <w:szCs w:val="20"/>
        </w:rPr>
        <w:t>Research</w:t>
      </w:r>
      <w:proofErr w:type="spellEnd"/>
      <w:r w:rsidRPr="00A00B47">
        <w:rPr>
          <w:rFonts w:ascii="Arial" w:hAnsi="Arial" w:cs="Arial"/>
          <w:i/>
          <w:iCs/>
          <w:color w:val="222222"/>
          <w:sz w:val="20"/>
          <w:szCs w:val="20"/>
        </w:rPr>
        <w:t xml:space="preserve"> </w:t>
      </w:r>
      <w:proofErr w:type="spellStart"/>
      <w:r w:rsidRPr="00A00B47">
        <w:rPr>
          <w:rFonts w:ascii="Arial" w:hAnsi="Arial" w:cs="Arial"/>
          <w:i/>
          <w:iCs/>
          <w:color w:val="222222"/>
          <w:sz w:val="20"/>
          <w:szCs w:val="20"/>
        </w:rPr>
        <w:t>Reports</w:t>
      </w:r>
      <w:proofErr w:type="spellEnd"/>
      <w:r w:rsidRPr="00A00B47">
        <w:rPr>
          <w:rFonts w:ascii="Arial" w:hAnsi="Arial" w:cs="Arial"/>
          <w:color w:val="222222"/>
          <w:sz w:val="20"/>
          <w:szCs w:val="20"/>
        </w:rPr>
        <w:t xml:space="preserve">, </w:t>
      </w:r>
      <w:r w:rsidRPr="00A00B47">
        <w:rPr>
          <w:rFonts w:ascii="Arial" w:hAnsi="Arial" w:cs="Arial"/>
          <w:i/>
          <w:iCs/>
          <w:color w:val="222222"/>
          <w:sz w:val="20"/>
          <w:szCs w:val="20"/>
        </w:rPr>
        <w:t>3</w:t>
      </w:r>
      <w:r w:rsidRPr="00A00B47">
        <w:rPr>
          <w:rFonts w:ascii="Arial" w:hAnsi="Arial" w:cs="Arial"/>
          <w:color w:val="222222"/>
          <w:sz w:val="20"/>
          <w:szCs w:val="20"/>
        </w:rPr>
        <w:t>(3), 5.</w:t>
      </w:r>
    </w:p>
    <w:p w:rsidR="00F96DAB" w:rsidRPr="0022296B" w:rsidRDefault="00F96DAB" w:rsidP="00DF2046">
      <w:pPr>
        <w:jc w:val="both"/>
        <w:rPr>
          <w:rFonts w:ascii="Arial" w:hAnsi="Arial" w:cs="Arial"/>
          <w:sz w:val="18"/>
          <w:szCs w:val="22"/>
          <w:lang w:val="es-AR"/>
        </w:rPr>
      </w:pPr>
      <w:proofErr w:type="spellStart"/>
      <w:r w:rsidRPr="00A00B47">
        <w:rPr>
          <w:rFonts w:ascii="Arial" w:hAnsi="Arial" w:cs="Arial"/>
          <w:b/>
          <w:sz w:val="18"/>
          <w:szCs w:val="22"/>
        </w:rPr>
        <w:t>Ciampitti</w:t>
      </w:r>
      <w:proofErr w:type="spellEnd"/>
      <w:r w:rsidRPr="00A00B47">
        <w:rPr>
          <w:rFonts w:ascii="Arial" w:hAnsi="Arial" w:cs="Arial"/>
          <w:b/>
          <w:sz w:val="18"/>
          <w:szCs w:val="22"/>
        </w:rPr>
        <w:t>, I.A.</w:t>
      </w:r>
      <w:r w:rsidRPr="00A00B47">
        <w:rPr>
          <w:rFonts w:ascii="Arial" w:hAnsi="Arial" w:cs="Arial"/>
          <w:sz w:val="18"/>
          <w:szCs w:val="22"/>
        </w:rPr>
        <w:t xml:space="preserve"> 2009. </w:t>
      </w:r>
      <w:r w:rsidRPr="0022296B">
        <w:rPr>
          <w:rFonts w:ascii="Arial" w:hAnsi="Arial" w:cs="Arial"/>
          <w:sz w:val="18"/>
          <w:szCs w:val="22"/>
          <w:lang w:val="es-ES_tradnl"/>
        </w:rPr>
        <w:t xml:space="preserve">Dinámica del fósforo del suelo en rotaciones agrícolas en ensayos de nutrición a largo plazo. </w:t>
      </w:r>
      <w:proofErr w:type="spellStart"/>
      <w:r w:rsidRPr="0022296B">
        <w:rPr>
          <w:rFonts w:ascii="Arial" w:hAnsi="Arial" w:cs="Arial"/>
          <w:sz w:val="18"/>
          <w:szCs w:val="22"/>
          <w:lang w:val="es-ES_tradnl"/>
        </w:rPr>
        <w:t>M.Sc</w:t>
      </w:r>
      <w:proofErr w:type="spellEnd"/>
      <w:r w:rsidRPr="0022296B">
        <w:rPr>
          <w:rFonts w:ascii="Arial" w:hAnsi="Arial" w:cs="Arial"/>
          <w:sz w:val="18"/>
          <w:szCs w:val="22"/>
          <w:lang w:val="es-ES_tradnl"/>
        </w:rPr>
        <w:t xml:space="preserve">. </w:t>
      </w:r>
      <w:proofErr w:type="spellStart"/>
      <w:r w:rsidRPr="0022296B">
        <w:rPr>
          <w:rFonts w:ascii="Arial" w:hAnsi="Arial" w:cs="Arial"/>
          <w:sz w:val="18"/>
          <w:szCs w:val="22"/>
          <w:lang w:val="es-ES_tradnl"/>
        </w:rPr>
        <w:t>thesis</w:t>
      </w:r>
      <w:proofErr w:type="spellEnd"/>
      <w:r w:rsidRPr="0022296B">
        <w:rPr>
          <w:rFonts w:ascii="Arial" w:hAnsi="Arial" w:cs="Arial"/>
          <w:sz w:val="18"/>
          <w:szCs w:val="22"/>
          <w:lang w:val="es-ES_tradnl"/>
        </w:rPr>
        <w:t xml:space="preserve">. </w:t>
      </w:r>
      <w:r w:rsidRPr="0022296B">
        <w:rPr>
          <w:rFonts w:ascii="Arial" w:hAnsi="Arial" w:cs="Arial"/>
          <w:sz w:val="18"/>
          <w:szCs w:val="22"/>
        </w:rPr>
        <w:t xml:space="preserve">FA-UBA. Buenos Aires, Argentina. </w:t>
      </w:r>
      <w:r w:rsidRPr="0022296B">
        <w:rPr>
          <w:rFonts w:ascii="Arial" w:hAnsi="Arial" w:cs="Arial"/>
          <w:sz w:val="18"/>
          <w:szCs w:val="22"/>
          <w:lang w:val="es-AR"/>
        </w:rPr>
        <w:t xml:space="preserve">XX </w:t>
      </w:r>
      <w:proofErr w:type="spellStart"/>
      <w:r w:rsidRPr="0022296B">
        <w:rPr>
          <w:rFonts w:ascii="Arial" w:hAnsi="Arial" w:cs="Arial"/>
          <w:sz w:val="18"/>
          <w:szCs w:val="22"/>
          <w:lang w:val="es-AR"/>
        </w:rPr>
        <w:t>pag</w:t>
      </w:r>
      <w:proofErr w:type="spellEnd"/>
      <w:r w:rsidRPr="0022296B">
        <w:rPr>
          <w:rFonts w:ascii="Arial" w:hAnsi="Arial" w:cs="Arial"/>
          <w:sz w:val="18"/>
          <w:szCs w:val="22"/>
          <w:lang w:val="es-AR"/>
        </w:rPr>
        <w:t xml:space="preserve">. </w:t>
      </w:r>
    </w:p>
    <w:p w:rsidR="00F96DAB" w:rsidRDefault="00F96DAB" w:rsidP="00DF2046">
      <w:pPr>
        <w:jc w:val="both"/>
        <w:rPr>
          <w:rFonts w:ascii="Arial" w:hAnsi="Arial" w:cs="Arial"/>
          <w:sz w:val="18"/>
          <w:szCs w:val="22"/>
          <w:lang w:val="es-AR"/>
        </w:rPr>
      </w:pPr>
      <w:proofErr w:type="spellStart"/>
      <w:r w:rsidRPr="0022296B">
        <w:rPr>
          <w:rFonts w:ascii="Arial" w:hAnsi="Arial" w:cs="Arial"/>
          <w:b/>
          <w:sz w:val="18"/>
          <w:szCs w:val="22"/>
          <w:lang w:val="es-AR"/>
        </w:rPr>
        <w:t>Collino</w:t>
      </w:r>
      <w:proofErr w:type="spellEnd"/>
      <w:r w:rsidRPr="0022296B">
        <w:rPr>
          <w:rFonts w:ascii="Arial" w:hAnsi="Arial" w:cs="Arial"/>
          <w:b/>
          <w:sz w:val="18"/>
          <w:szCs w:val="22"/>
          <w:lang w:val="es-AR"/>
        </w:rPr>
        <w:t xml:space="preserve">, D., M. de Luca, A. </w:t>
      </w:r>
      <w:proofErr w:type="spellStart"/>
      <w:r w:rsidRPr="0022296B">
        <w:rPr>
          <w:rFonts w:ascii="Arial" w:hAnsi="Arial" w:cs="Arial"/>
          <w:b/>
          <w:sz w:val="18"/>
          <w:szCs w:val="22"/>
          <w:lang w:val="es-AR"/>
        </w:rPr>
        <w:t>Perticari</w:t>
      </w:r>
      <w:proofErr w:type="spellEnd"/>
      <w:r w:rsidRPr="0022296B">
        <w:rPr>
          <w:rFonts w:ascii="Arial" w:hAnsi="Arial" w:cs="Arial"/>
          <w:b/>
          <w:sz w:val="18"/>
          <w:szCs w:val="22"/>
          <w:lang w:val="es-AR"/>
        </w:rPr>
        <w:t xml:space="preserve">, S. </w:t>
      </w:r>
      <w:proofErr w:type="spellStart"/>
      <w:r w:rsidRPr="0022296B">
        <w:rPr>
          <w:rFonts w:ascii="Arial" w:hAnsi="Arial" w:cs="Arial"/>
          <w:b/>
          <w:sz w:val="18"/>
          <w:szCs w:val="22"/>
          <w:lang w:val="es-AR"/>
        </w:rPr>
        <w:t>Urquiaga</w:t>
      </w:r>
      <w:proofErr w:type="spellEnd"/>
      <w:r w:rsidRPr="0022296B">
        <w:rPr>
          <w:rFonts w:ascii="Arial" w:hAnsi="Arial" w:cs="Arial"/>
          <w:b/>
          <w:sz w:val="18"/>
          <w:szCs w:val="22"/>
          <w:lang w:val="es-AR"/>
        </w:rPr>
        <w:t xml:space="preserve">, y R. </w:t>
      </w:r>
      <w:proofErr w:type="spellStart"/>
      <w:r w:rsidRPr="0022296B">
        <w:rPr>
          <w:rFonts w:ascii="Arial" w:hAnsi="Arial" w:cs="Arial"/>
          <w:b/>
          <w:sz w:val="18"/>
          <w:szCs w:val="22"/>
          <w:lang w:val="es-AR"/>
        </w:rPr>
        <w:t>Racca</w:t>
      </w:r>
      <w:proofErr w:type="spellEnd"/>
      <w:r w:rsidRPr="0022296B">
        <w:rPr>
          <w:rFonts w:ascii="Arial" w:hAnsi="Arial" w:cs="Arial"/>
          <w:sz w:val="18"/>
          <w:szCs w:val="22"/>
          <w:lang w:val="es-AR"/>
        </w:rPr>
        <w:t xml:space="preserve">. 2007. Aporte de la FBN a la nutrición de la soja y factores que la limitan en diferentes regiones del país. Actas XXIII Reunión Latinoamericana de </w:t>
      </w:r>
      <w:proofErr w:type="spellStart"/>
      <w:r w:rsidRPr="0022296B">
        <w:rPr>
          <w:rFonts w:ascii="Arial" w:hAnsi="Arial" w:cs="Arial"/>
          <w:sz w:val="18"/>
          <w:szCs w:val="22"/>
          <w:lang w:val="es-AR"/>
        </w:rPr>
        <w:t>Rizobiología</w:t>
      </w:r>
      <w:proofErr w:type="spellEnd"/>
      <w:r w:rsidRPr="0022296B">
        <w:rPr>
          <w:rFonts w:ascii="Arial" w:hAnsi="Arial" w:cs="Arial"/>
          <w:sz w:val="18"/>
          <w:szCs w:val="22"/>
          <w:lang w:val="es-AR"/>
        </w:rPr>
        <w:t>. Los Cocos, Córdoba. Argentina.</w:t>
      </w:r>
    </w:p>
    <w:p w:rsidR="00F96DAB" w:rsidRPr="00AC5C68" w:rsidRDefault="00F96DAB" w:rsidP="00DF2046">
      <w:pPr>
        <w:jc w:val="both"/>
        <w:rPr>
          <w:rFonts w:ascii="Arial" w:hAnsi="Arial" w:cs="Arial"/>
          <w:sz w:val="18"/>
          <w:szCs w:val="22"/>
          <w:lang w:val="es-AR"/>
        </w:rPr>
      </w:pPr>
      <w:proofErr w:type="spellStart"/>
      <w:r w:rsidRPr="00BC0FC6">
        <w:rPr>
          <w:rFonts w:ascii="Arial" w:hAnsi="Arial" w:cs="Arial"/>
          <w:b/>
          <w:sz w:val="18"/>
          <w:szCs w:val="22"/>
        </w:rPr>
        <w:t>Correndo</w:t>
      </w:r>
      <w:proofErr w:type="spellEnd"/>
      <w:r w:rsidRPr="00BC0FC6">
        <w:rPr>
          <w:rFonts w:ascii="Arial" w:hAnsi="Arial" w:cs="Arial"/>
          <w:b/>
          <w:sz w:val="18"/>
          <w:szCs w:val="22"/>
        </w:rPr>
        <w:t>,</w:t>
      </w:r>
      <w:r>
        <w:rPr>
          <w:rFonts w:ascii="Arial" w:hAnsi="Arial" w:cs="Arial"/>
          <w:b/>
          <w:sz w:val="18"/>
          <w:szCs w:val="22"/>
        </w:rPr>
        <w:t xml:space="preserve"> A., M.</w:t>
      </w:r>
      <w:r w:rsidRPr="00BC0FC6">
        <w:rPr>
          <w:rFonts w:ascii="Arial" w:hAnsi="Arial" w:cs="Arial"/>
          <w:b/>
          <w:sz w:val="18"/>
          <w:szCs w:val="22"/>
        </w:rPr>
        <w:t xml:space="preserve"> </w:t>
      </w:r>
      <w:proofErr w:type="spellStart"/>
      <w:r w:rsidRPr="00BC0FC6">
        <w:rPr>
          <w:rFonts w:ascii="Arial" w:hAnsi="Arial" w:cs="Arial"/>
          <w:b/>
          <w:sz w:val="18"/>
          <w:szCs w:val="22"/>
        </w:rPr>
        <w:t>Boxler</w:t>
      </w:r>
      <w:proofErr w:type="spellEnd"/>
      <w:r w:rsidRPr="00BC0FC6">
        <w:rPr>
          <w:rFonts w:ascii="Arial" w:hAnsi="Arial" w:cs="Arial"/>
          <w:b/>
          <w:sz w:val="18"/>
          <w:szCs w:val="22"/>
        </w:rPr>
        <w:t xml:space="preserve"> y </w:t>
      </w:r>
      <w:r>
        <w:rPr>
          <w:rFonts w:ascii="Arial" w:hAnsi="Arial" w:cs="Arial"/>
          <w:b/>
          <w:sz w:val="18"/>
          <w:szCs w:val="22"/>
        </w:rPr>
        <w:t xml:space="preserve">F. </w:t>
      </w:r>
      <w:r w:rsidRPr="00BC0FC6">
        <w:rPr>
          <w:rFonts w:ascii="Arial" w:hAnsi="Arial" w:cs="Arial"/>
          <w:b/>
          <w:sz w:val="18"/>
          <w:szCs w:val="22"/>
        </w:rPr>
        <w:t>García.</w:t>
      </w:r>
      <w:r w:rsidRPr="00BC0FC6">
        <w:rPr>
          <w:rFonts w:ascii="Arial" w:hAnsi="Arial" w:cs="Arial"/>
          <w:sz w:val="18"/>
          <w:szCs w:val="22"/>
        </w:rPr>
        <w:t xml:space="preserve"> 2015. Reposición de nutrientes en el largo plazo ¿Qué nos dicen los números?</w:t>
      </w:r>
      <w:r>
        <w:rPr>
          <w:rFonts w:ascii="Arial" w:hAnsi="Arial" w:cs="Arial"/>
          <w:sz w:val="18"/>
          <w:szCs w:val="22"/>
        </w:rPr>
        <w:t xml:space="preserve"> </w:t>
      </w:r>
      <w:proofErr w:type="spellStart"/>
      <w:r w:rsidRPr="00F60433">
        <w:rPr>
          <w:rFonts w:ascii="Arial" w:hAnsi="Arial" w:cs="Arial"/>
          <w:sz w:val="18"/>
          <w:szCs w:val="22"/>
          <w:lang w:val="es-AR"/>
        </w:rPr>
        <w:t>Pp</w:t>
      </w:r>
      <w:proofErr w:type="spellEnd"/>
      <w:r w:rsidRPr="00F60433">
        <w:rPr>
          <w:rFonts w:ascii="Arial" w:hAnsi="Arial" w:cs="Arial"/>
          <w:sz w:val="18"/>
          <w:szCs w:val="22"/>
          <w:lang w:val="es-AR"/>
        </w:rPr>
        <w:t xml:space="preserve"> 84-94. Actas del Simposio Fertilidad 2015. </w:t>
      </w:r>
      <w:proofErr w:type="spellStart"/>
      <w:r w:rsidRPr="00AC5C68">
        <w:rPr>
          <w:rFonts w:ascii="Arial" w:hAnsi="Arial" w:cs="Arial"/>
          <w:sz w:val="18"/>
          <w:szCs w:val="22"/>
          <w:lang w:val="es-AR"/>
        </w:rPr>
        <w:t>Cd-ROM</w:t>
      </w:r>
      <w:proofErr w:type="spellEnd"/>
      <w:r w:rsidRPr="00AC5C68">
        <w:rPr>
          <w:rFonts w:ascii="Arial" w:hAnsi="Arial" w:cs="Arial"/>
          <w:sz w:val="18"/>
          <w:szCs w:val="22"/>
          <w:lang w:val="es-AR"/>
        </w:rPr>
        <w:t>.</w:t>
      </w:r>
    </w:p>
    <w:p w:rsidR="00F96DAB" w:rsidRPr="00A00B47" w:rsidRDefault="00F96DAB" w:rsidP="00DF2046">
      <w:pPr>
        <w:jc w:val="both"/>
        <w:rPr>
          <w:rFonts w:ascii="Arial" w:hAnsi="Arial" w:cs="Arial"/>
          <w:sz w:val="18"/>
          <w:szCs w:val="22"/>
          <w:lang w:val="en-US"/>
        </w:rPr>
      </w:pPr>
      <w:proofErr w:type="spellStart"/>
      <w:r w:rsidRPr="00AC5C68">
        <w:rPr>
          <w:rFonts w:ascii="Arial" w:hAnsi="Arial" w:cs="Arial"/>
          <w:b/>
          <w:sz w:val="18"/>
          <w:szCs w:val="22"/>
          <w:lang w:val="es-AR"/>
        </w:rPr>
        <w:t>Dodd</w:t>
      </w:r>
      <w:proofErr w:type="spellEnd"/>
      <w:r w:rsidRPr="00AC5C68">
        <w:rPr>
          <w:rFonts w:ascii="Arial" w:hAnsi="Arial" w:cs="Arial"/>
          <w:b/>
          <w:sz w:val="18"/>
          <w:szCs w:val="22"/>
          <w:lang w:val="es-AR"/>
        </w:rPr>
        <w:t xml:space="preserve">, J. R., &amp; </w:t>
      </w:r>
      <w:proofErr w:type="spellStart"/>
      <w:r w:rsidRPr="00AC5C68">
        <w:rPr>
          <w:rFonts w:ascii="Arial" w:hAnsi="Arial" w:cs="Arial"/>
          <w:b/>
          <w:sz w:val="18"/>
          <w:szCs w:val="22"/>
          <w:lang w:val="es-AR"/>
        </w:rPr>
        <w:t>Mallarino</w:t>
      </w:r>
      <w:proofErr w:type="spellEnd"/>
      <w:r w:rsidRPr="00AC5C68">
        <w:rPr>
          <w:rFonts w:ascii="Arial" w:hAnsi="Arial" w:cs="Arial"/>
          <w:b/>
          <w:sz w:val="18"/>
          <w:szCs w:val="22"/>
          <w:lang w:val="es-AR"/>
        </w:rPr>
        <w:t xml:space="preserve">, A. P. </w:t>
      </w:r>
      <w:r w:rsidRPr="00AC5C68">
        <w:rPr>
          <w:rFonts w:ascii="Arial" w:hAnsi="Arial" w:cs="Arial"/>
          <w:sz w:val="18"/>
          <w:szCs w:val="22"/>
          <w:lang w:val="es-AR"/>
        </w:rPr>
        <w:t>(2005).</w:t>
      </w:r>
      <w:r w:rsidRPr="00AC5C68">
        <w:rPr>
          <w:rFonts w:ascii="Arial" w:hAnsi="Arial" w:cs="Arial"/>
          <w:b/>
          <w:sz w:val="18"/>
          <w:szCs w:val="22"/>
          <w:lang w:val="es-AR"/>
        </w:rPr>
        <w:t xml:space="preserve"> </w:t>
      </w:r>
      <w:r w:rsidRPr="00681937">
        <w:rPr>
          <w:rFonts w:ascii="Arial" w:hAnsi="Arial" w:cs="Arial"/>
          <w:sz w:val="18"/>
          <w:szCs w:val="22"/>
          <w:lang w:val="en-US"/>
        </w:rPr>
        <w:t xml:space="preserve">Soil-test phosphorus and crop grain yield responses to long-term phosphorus fertilization for corn-soybean rotations. </w:t>
      </w:r>
      <w:r w:rsidRPr="00A00B47">
        <w:rPr>
          <w:rFonts w:ascii="Arial" w:hAnsi="Arial" w:cs="Arial"/>
          <w:sz w:val="18"/>
          <w:szCs w:val="22"/>
          <w:lang w:val="en-US"/>
        </w:rPr>
        <w:t>Soil Science Society of America Journal, 69(4), 1118-1128.</w:t>
      </w:r>
    </w:p>
    <w:p w:rsidR="00F96DAB" w:rsidRPr="00F60433" w:rsidRDefault="00F96DAB" w:rsidP="00DF2046">
      <w:pPr>
        <w:jc w:val="both"/>
        <w:rPr>
          <w:rFonts w:ascii="Arial" w:hAnsi="Arial" w:cs="Arial"/>
          <w:sz w:val="18"/>
          <w:szCs w:val="22"/>
          <w:lang w:val="en-US"/>
        </w:rPr>
      </w:pPr>
      <w:r w:rsidRPr="00F96DAB">
        <w:rPr>
          <w:rFonts w:ascii="Arial" w:hAnsi="Arial" w:cs="Arial"/>
          <w:b/>
          <w:sz w:val="18"/>
          <w:szCs w:val="22"/>
          <w:lang w:val="en-US"/>
        </w:rPr>
        <w:t>Drury, C. F., &amp; Tan, C. S.</w:t>
      </w:r>
      <w:r w:rsidRPr="00681937">
        <w:rPr>
          <w:rFonts w:ascii="Arial" w:hAnsi="Arial" w:cs="Arial"/>
          <w:sz w:val="18"/>
          <w:szCs w:val="22"/>
          <w:lang w:val="en-US"/>
        </w:rPr>
        <w:t xml:space="preserve"> (1995). Long-term (35 years) effects of fertilization, rotation and weather on corn yields. </w:t>
      </w:r>
      <w:r w:rsidRPr="00F60433">
        <w:rPr>
          <w:rFonts w:ascii="Arial" w:hAnsi="Arial" w:cs="Arial"/>
          <w:sz w:val="18"/>
          <w:szCs w:val="22"/>
          <w:lang w:val="en-US"/>
        </w:rPr>
        <w:t>Canadian Journal of Plant Science, 75(2), 355-362.</w:t>
      </w:r>
    </w:p>
    <w:p w:rsidR="00F96DAB" w:rsidRPr="00F96DAB" w:rsidRDefault="00F96DAB" w:rsidP="00DF2046">
      <w:pPr>
        <w:jc w:val="both"/>
        <w:rPr>
          <w:rFonts w:ascii="Arial" w:hAnsi="Arial" w:cs="Arial"/>
          <w:color w:val="222222"/>
          <w:sz w:val="20"/>
          <w:szCs w:val="20"/>
          <w:lang w:val="en-US"/>
        </w:rPr>
      </w:pPr>
      <w:r w:rsidRPr="00F96DAB">
        <w:rPr>
          <w:rFonts w:ascii="Arial" w:hAnsi="Arial" w:cs="Arial"/>
          <w:b/>
          <w:color w:val="222222"/>
          <w:sz w:val="20"/>
          <w:szCs w:val="20"/>
          <w:lang w:val="en-US"/>
        </w:rPr>
        <w:t>Edwards, C. L.</w:t>
      </w:r>
      <w:r w:rsidRPr="00F96DAB">
        <w:rPr>
          <w:rFonts w:ascii="Arial" w:hAnsi="Arial" w:cs="Arial"/>
          <w:color w:val="222222"/>
          <w:sz w:val="20"/>
          <w:szCs w:val="20"/>
          <w:lang w:val="en-US"/>
        </w:rPr>
        <w:t xml:space="preserve"> (2017). </w:t>
      </w:r>
      <w:r w:rsidRPr="00F96DAB">
        <w:rPr>
          <w:rFonts w:ascii="Arial" w:hAnsi="Arial" w:cs="Arial"/>
          <w:i/>
          <w:iCs/>
          <w:color w:val="222222"/>
          <w:sz w:val="20"/>
          <w:szCs w:val="20"/>
          <w:lang w:val="en-US"/>
        </w:rPr>
        <w:t>Evaluation of long-term phosphorus fertilizer placement, rate, and source, and research in the US Midwest</w:t>
      </w:r>
      <w:r w:rsidRPr="00F96DAB">
        <w:rPr>
          <w:rFonts w:ascii="Arial" w:hAnsi="Arial" w:cs="Arial"/>
          <w:color w:val="222222"/>
          <w:sz w:val="20"/>
          <w:szCs w:val="20"/>
          <w:lang w:val="en-US"/>
        </w:rPr>
        <w:t xml:space="preserve"> (Doctoral dissertation, Kansas State University).</w:t>
      </w:r>
    </w:p>
    <w:p w:rsidR="00F96DAB" w:rsidRPr="00BC0FC6" w:rsidRDefault="00F96DAB" w:rsidP="00DF2046">
      <w:pPr>
        <w:jc w:val="both"/>
        <w:rPr>
          <w:rFonts w:ascii="Arial" w:hAnsi="Arial" w:cs="Arial"/>
          <w:sz w:val="18"/>
          <w:szCs w:val="22"/>
        </w:rPr>
      </w:pPr>
      <w:proofErr w:type="spellStart"/>
      <w:r>
        <w:rPr>
          <w:rFonts w:ascii="Arial" w:hAnsi="Arial" w:cs="Arial"/>
          <w:b/>
          <w:sz w:val="18"/>
          <w:szCs w:val="22"/>
        </w:rPr>
        <w:t>Ferraris</w:t>
      </w:r>
      <w:proofErr w:type="spellEnd"/>
      <w:r>
        <w:rPr>
          <w:rFonts w:ascii="Arial" w:hAnsi="Arial" w:cs="Arial"/>
          <w:b/>
          <w:sz w:val="18"/>
          <w:szCs w:val="22"/>
        </w:rPr>
        <w:t xml:space="preserve">, G., M. Toribio, R. </w:t>
      </w:r>
      <w:proofErr w:type="spellStart"/>
      <w:r>
        <w:rPr>
          <w:rFonts w:ascii="Arial" w:hAnsi="Arial" w:cs="Arial"/>
          <w:b/>
          <w:sz w:val="18"/>
          <w:szCs w:val="22"/>
        </w:rPr>
        <w:t>Falconi</w:t>
      </w:r>
      <w:proofErr w:type="spellEnd"/>
      <w:r>
        <w:rPr>
          <w:rFonts w:ascii="Arial" w:hAnsi="Arial" w:cs="Arial"/>
          <w:b/>
          <w:sz w:val="18"/>
          <w:szCs w:val="22"/>
        </w:rPr>
        <w:t xml:space="preserve"> y L. </w:t>
      </w:r>
      <w:proofErr w:type="spellStart"/>
      <w:r>
        <w:rPr>
          <w:rFonts w:ascii="Arial" w:hAnsi="Arial" w:cs="Arial"/>
          <w:b/>
          <w:sz w:val="18"/>
          <w:szCs w:val="22"/>
        </w:rPr>
        <w:t>Couretot</w:t>
      </w:r>
      <w:proofErr w:type="spellEnd"/>
      <w:r>
        <w:rPr>
          <w:rFonts w:ascii="Arial" w:hAnsi="Arial" w:cs="Arial"/>
          <w:b/>
          <w:sz w:val="18"/>
          <w:szCs w:val="22"/>
        </w:rPr>
        <w:t xml:space="preserve">. </w:t>
      </w:r>
      <w:r>
        <w:rPr>
          <w:rFonts w:ascii="Arial" w:hAnsi="Arial" w:cs="Arial"/>
          <w:sz w:val="18"/>
          <w:szCs w:val="22"/>
        </w:rPr>
        <w:t>2015</w:t>
      </w:r>
      <w:r w:rsidRPr="00BC0FC6">
        <w:rPr>
          <w:rFonts w:ascii="Arial" w:hAnsi="Arial" w:cs="Arial"/>
          <w:sz w:val="18"/>
          <w:szCs w:val="22"/>
        </w:rPr>
        <w:t xml:space="preserve">. </w:t>
      </w:r>
      <w:r>
        <w:rPr>
          <w:rFonts w:ascii="Arial" w:hAnsi="Arial" w:cs="Arial"/>
          <w:sz w:val="18"/>
          <w:szCs w:val="22"/>
        </w:rPr>
        <w:t xml:space="preserve">Efectos de diferentes estrategias de fertilización sobre los rendimientos, el balance de nutrientes y su disponibilidad en los suelos en el largo plazo. Actas CD Simposio Fertilidad 2015. </w:t>
      </w:r>
      <w:proofErr w:type="spellStart"/>
      <w:proofErr w:type="gramStart"/>
      <w:r>
        <w:rPr>
          <w:rFonts w:ascii="Arial" w:hAnsi="Arial" w:cs="Arial"/>
          <w:sz w:val="18"/>
          <w:szCs w:val="22"/>
        </w:rPr>
        <w:t>pp</w:t>
      </w:r>
      <w:proofErr w:type="spellEnd"/>
      <w:proofErr w:type="gramEnd"/>
      <w:r>
        <w:rPr>
          <w:rFonts w:ascii="Arial" w:hAnsi="Arial" w:cs="Arial"/>
          <w:sz w:val="18"/>
          <w:szCs w:val="22"/>
        </w:rPr>
        <w:t xml:space="preserve"> 137-142. “Nutriendo los suelos para las generaciones del futuro”. Rosario, 19-20 Mayo 2015. IPNI Cono Sur – Fertilizar AC.</w:t>
      </w:r>
    </w:p>
    <w:p w:rsidR="00F96DAB" w:rsidRPr="0022296B" w:rsidRDefault="00F96DAB" w:rsidP="00DF2046">
      <w:pPr>
        <w:jc w:val="both"/>
        <w:rPr>
          <w:rFonts w:ascii="Arial" w:hAnsi="Arial" w:cs="Arial"/>
          <w:sz w:val="18"/>
          <w:szCs w:val="22"/>
          <w:lang w:val="es-ES_tradnl"/>
        </w:rPr>
      </w:pPr>
      <w:r w:rsidRPr="0022296B">
        <w:rPr>
          <w:rFonts w:ascii="Arial" w:hAnsi="Arial" w:cs="Arial"/>
          <w:b/>
          <w:sz w:val="18"/>
          <w:szCs w:val="22"/>
          <w:lang w:val="es-ES_tradnl"/>
        </w:rPr>
        <w:t xml:space="preserve">IPNI. 2013. </w:t>
      </w:r>
      <w:r w:rsidRPr="0022296B">
        <w:rPr>
          <w:rFonts w:ascii="Arial" w:hAnsi="Arial" w:cs="Arial"/>
          <w:sz w:val="18"/>
          <w:szCs w:val="22"/>
          <w:lang w:val="es-ES_tradnl"/>
        </w:rPr>
        <w:t xml:space="preserve">Cálculo de requerimientos nutricionales. Planilla de cálculo para estimar la absorción y extracción de nutrientes en cereales, oleaginosas, industriales y forrajeras. IPNI Programa Latinoamérica Cono Sur. Disponible </w:t>
      </w:r>
      <w:proofErr w:type="spellStart"/>
      <w:r w:rsidRPr="0022296B">
        <w:rPr>
          <w:rFonts w:ascii="Arial" w:hAnsi="Arial" w:cs="Arial"/>
          <w:sz w:val="18"/>
          <w:szCs w:val="22"/>
          <w:lang w:val="es-ES_tradnl"/>
        </w:rPr>
        <w:t>on</w:t>
      </w:r>
      <w:proofErr w:type="spellEnd"/>
      <w:r w:rsidRPr="0022296B">
        <w:rPr>
          <w:rFonts w:ascii="Arial" w:hAnsi="Arial" w:cs="Arial"/>
          <w:sz w:val="18"/>
          <w:szCs w:val="22"/>
          <w:lang w:val="es-ES_tradnl"/>
        </w:rPr>
        <w:t xml:space="preserve"> line </w:t>
      </w:r>
      <w:r w:rsidRPr="0022296B">
        <w:rPr>
          <w:rFonts w:ascii="Arial" w:hAnsi="Arial" w:cs="Arial"/>
          <w:sz w:val="18"/>
          <w:szCs w:val="22"/>
        </w:rPr>
        <w:t>http://lacs.ipni.net/article/LACS-1024</w:t>
      </w:r>
      <w:r>
        <w:rPr>
          <w:rFonts w:ascii="Arial" w:hAnsi="Arial" w:cs="Arial"/>
          <w:sz w:val="18"/>
          <w:szCs w:val="22"/>
        </w:rPr>
        <w:t>.</w:t>
      </w:r>
    </w:p>
    <w:p w:rsidR="00F96DAB" w:rsidRPr="00F60433" w:rsidRDefault="00F96DAB" w:rsidP="00DF2046">
      <w:pPr>
        <w:jc w:val="both"/>
        <w:rPr>
          <w:rFonts w:ascii="Arial" w:hAnsi="Arial" w:cs="Arial"/>
          <w:sz w:val="18"/>
          <w:szCs w:val="22"/>
          <w:lang w:val="en-US"/>
        </w:rPr>
      </w:pPr>
      <w:proofErr w:type="spellStart"/>
      <w:r w:rsidRPr="00F96DAB">
        <w:rPr>
          <w:rFonts w:ascii="Arial" w:hAnsi="Arial" w:cs="Arial"/>
          <w:b/>
          <w:sz w:val="18"/>
          <w:szCs w:val="22"/>
          <w:lang w:val="en-US"/>
        </w:rPr>
        <w:t>Jarosch</w:t>
      </w:r>
      <w:proofErr w:type="spellEnd"/>
      <w:r w:rsidRPr="00F96DAB">
        <w:rPr>
          <w:rFonts w:ascii="Arial" w:hAnsi="Arial" w:cs="Arial"/>
          <w:b/>
          <w:sz w:val="18"/>
          <w:szCs w:val="22"/>
          <w:lang w:val="en-US"/>
        </w:rPr>
        <w:t xml:space="preserve">, K., </w:t>
      </w:r>
      <w:proofErr w:type="spellStart"/>
      <w:r w:rsidRPr="00F96DAB">
        <w:rPr>
          <w:rFonts w:ascii="Arial" w:hAnsi="Arial" w:cs="Arial"/>
          <w:b/>
          <w:sz w:val="18"/>
          <w:szCs w:val="22"/>
          <w:lang w:val="en-US"/>
        </w:rPr>
        <w:t>Oberson</w:t>
      </w:r>
      <w:proofErr w:type="spellEnd"/>
      <w:r w:rsidRPr="00F96DAB">
        <w:rPr>
          <w:rFonts w:ascii="Arial" w:hAnsi="Arial" w:cs="Arial"/>
          <w:b/>
          <w:sz w:val="18"/>
          <w:szCs w:val="22"/>
          <w:lang w:val="en-US"/>
        </w:rPr>
        <w:t xml:space="preserve">, A., Emmanuel, F., </w:t>
      </w:r>
      <w:proofErr w:type="spellStart"/>
      <w:r w:rsidRPr="00F96DAB">
        <w:rPr>
          <w:rFonts w:ascii="Arial" w:hAnsi="Arial" w:cs="Arial"/>
          <w:b/>
          <w:sz w:val="18"/>
          <w:szCs w:val="22"/>
          <w:lang w:val="en-US"/>
        </w:rPr>
        <w:t>Gunst</w:t>
      </w:r>
      <w:proofErr w:type="spellEnd"/>
      <w:r w:rsidRPr="00F96DAB">
        <w:rPr>
          <w:rFonts w:ascii="Arial" w:hAnsi="Arial" w:cs="Arial"/>
          <w:b/>
          <w:sz w:val="18"/>
          <w:szCs w:val="22"/>
          <w:lang w:val="en-US"/>
        </w:rPr>
        <w:t xml:space="preserve">, L., Dubois, D., </w:t>
      </w:r>
      <w:proofErr w:type="spellStart"/>
      <w:r w:rsidRPr="00F96DAB">
        <w:rPr>
          <w:rFonts w:ascii="Arial" w:hAnsi="Arial" w:cs="Arial"/>
          <w:b/>
          <w:sz w:val="18"/>
          <w:szCs w:val="22"/>
          <w:lang w:val="en-US"/>
        </w:rPr>
        <w:t>Mäder</w:t>
      </w:r>
      <w:proofErr w:type="spellEnd"/>
      <w:r w:rsidRPr="00F96DAB">
        <w:rPr>
          <w:rFonts w:ascii="Arial" w:hAnsi="Arial" w:cs="Arial"/>
          <w:b/>
          <w:sz w:val="18"/>
          <w:szCs w:val="22"/>
          <w:lang w:val="en-US"/>
        </w:rPr>
        <w:t>, P., &amp; Mayer, J.</w:t>
      </w:r>
      <w:r w:rsidRPr="00681937">
        <w:rPr>
          <w:rFonts w:ascii="Arial" w:hAnsi="Arial" w:cs="Arial"/>
          <w:sz w:val="18"/>
          <w:szCs w:val="22"/>
          <w:lang w:val="en-US"/>
        </w:rPr>
        <w:t xml:space="preserve"> (2017, April). Phosphorus (P) balances and P availability in a field trial comparing organic and conventional farming systems since 35 years. </w:t>
      </w:r>
      <w:r w:rsidRPr="00F60433">
        <w:rPr>
          <w:rFonts w:ascii="Arial" w:hAnsi="Arial" w:cs="Arial"/>
          <w:sz w:val="18"/>
          <w:szCs w:val="22"/>
          <w:lang w:val="en-US"/>
        </w:rPr>
        <w:t>In EGU General Assembly Conference Abstracts (Vol. 19, p. 15377).</w:t>
      </w:r>
    </w:p>
    <w:p w:rsidR="00F96DAB" w:rsidRPr="0075072C" w:rsidRDefault="00F96DAB" w:rsidP="00DF2046">
      <w:pPr>
        <w:autoSpaceDE w:val="0"/>
        <w:autoSpaceDN w:val="0"/>
        <w:adjustRightInd w:val="0"/>
        <w:jc w:val="both"/>
        <w:rPr>
          <w:rFonts w:ascii="Arial" w:hAnsi="Arial" w:cs="Arial"/>
          <w:b/>
          <w:sz w:val="18"/>
          <w:szCs w:val="22"/>
          <w:lang w:val="en-US"/>
        </w:rPr>
      </w:pPr>
      <w:r w:rsidRPr="0075072C">
        <w:rPr>
          <w:rFonts w:ascii="Arial" w:hAnsi="Arial" w:cs="Arial"/>
          <w:b/>
          <w:sz w:val="18"/>
          <w:szCs w:val="22"/>
          <w:lang w:val="en-US"/>
        </w:rPr>
        <w:t xml:space="preserve">Johnston </w:t>
      </w:r>
      <w:r>
        <w:rPr>
          <w:rFonts w:ascii="Arial" w:hAnsi="Arial" w:cs="Arial"/>
          <w:b/>
          <w:sz w:val="18"/>
          <w:szCs w:val="22"/>
          <w:lang w:val="en-US"/>
        </w:rPr>
        <w:t xml:space="preserve">A. </w:t>
      </w:r>
      <w:r w:rsidRPr="0075072C">
        <w:rPr>
          <w:rFonts w:ascii="Arial" w:hAnsi="Arial" w:cs="Arial"/>
          <w:b/>
          <w:sz w:val="18"/>
          <w:szCs w:val="22"/>
          <w:lang w:val="en-US"/>
        </w:rPr>
        <w:t xml:space="preserve">and J. Keith </w:t>
      </w:r>
      <w:proofErr w:type="spellStart"/>
      <w:r w:rsidRPr="0075072C">
        <w:rPr>
          <w:rFonts w:ascii="Arial" w:hAnsi="Arial" w:cs="Arial"/>
          <w:b/>
          <w:sz w:val="18"/>
          <w:szCs w:val="22"/>
          <w:lang w:val="en-US"/>
        </w:rPr>
        <w:t>Syers</w:t>
      </w:r>
      <w:proofErr w:type="spellEnd"/>
      <w:r>
        <w:rPr>
          <w:rFonts w:ascii="Arial" w:hAnsi="Arial" w:cs="Arial"/>
          <w:b/>
          <w:sz w:val="18"/>
          <w:szCs w:val="22"/>
          <w:lang w:val="en-US"/>
        </w:rPr>
        <w:t xml:space="preserve">. </w:t>
      </w:r>
      <w:r w:rsidRPr="0075072C">
        <w:rPr>
          <w:rFonts w:ascii="Arial" w:hAnsi="Arial" w:cs="Arial"/>
          <w:sz w:val="18"/>
          <w:szCs w:val="22"/>
          <w:lang w:val="en-US"/>
        </w:rPr>
        <w:t>200</w:t>
      </w:r>
      <w:r>
        <w:rPr>
          <w:rFonts w:ascii="Arial" w:hAnsi="Arial" w:cs="Arial"/>
          <w:sz w:val="18"/>
          <w:szCs w:val="22"/>
          <w:lang w:val="en-US"/>
        </w:rPr>
        <w:t>9</w:t>
      </w:r>
      <w:r w:rsidRPr="0075072C">
        <w:rPr>
          <w:rFonts w:ascii="Arial" w:hAnsi="Arial" w:cs="Arial"/>
          <w:sz w:val="18"/>
          <w:szCs w:val="22"/>
          <w:lang w:val="en-US"/>
        </w:rPr>
        <w:t>. A New Approach to Assessing Phosphorus Use Efficiency in Agriculture</w:t>
      </w:r>
      <w:r>
        <w:rPr>
          <w:rFonts w:ascii="Arial" w:hAnsi="Arial" w:cs="Arial"/>
          <w:sz w:val="18"/>
          <w:szCs w:val="22"/>
          <w:lang w:val="en-US"/>
        </w:rPr>
        <w:t xml:space="preserve">. </w:t>
      </w:r>
      <w:r w:rsidRPr="0075072C">
        <w:rPr>
          <w:rFonts w:ascii="Arial" w:hAnsi="Arial" w:cs="Arial"/>
          <w:sz w:val="18"/>
          <w:szCs w:val="22"/>
          <w:lang w:val="en-US"/>
        </w:rPr>
        <w:t>Better Crops/Vol. 93 (2009, No. 3)</w:t>
      </w:r>
      <w:r>
        <w:rPr>
          <w:rFonts w:ascii="Arial" w:hAnsi="Arial" w:cs="Arial"/>
          <w:sz w:val="18"/>
          <w:szCs w:val="22"/>
          <w:lang w:val="en-US"/>
        </w:rPr>
        <w:t>.</w:t>
      </w:r>
    </w:p>
    <w:p w:rsidR="00DF2046" w:rsidRPr="00DF2046" w:rsidRDefault="00DF2046" w:rsidP="00DF2046">
      <w:pPr>
        <w:jc w:val="both"/>
        <w:rPr>
          <w:rFonts w:ascii="Arial" w:hAnsi="Arial" w:cs="Arial"/>
          <w:sz w:val="18"/>
          <w:szCs w:val="22"/>
          <w:lang w:val="en-US"/>
        </w:rPr>
      </w:pPr>
      <w:r w:rsidRPr="00DF2046">
        <w:rPr>
          <w:rFonts w:ascii="Arial" w:hAnsi="Arial" w:cs="Arial"/>
          <w:b/>
          <w:sz w:val="18"/>
          <w:szCs w:val="22"/>
          <w:lang w:val="en-US"/>
        </w:rPr>
        <w:t xml:space="preserve">Lang, M., Christie, P., Zhang, J., &amp; Li, X. (2018). </w:t>
      </w:r>
      <w:r w:rsidRPr="00DF2046">
        <w:rPr>
          <w:rFonts w:ascii="Arial" w:hAnsi="Arial" w:cs="Arial"/>
          <w:sz w:val="18"/>
          <w:szCs w:val="22"/>
          <w:lang w:val="en-US"/>
        </w:rPr>
        <w:t>Long-term phosphorus application to a maize monoculture influences the soil microbial community and its feedback effects on maize seedling biomass. Applied Soil Ecology, 128, 12-22.</w:t>
      </w:r>
    </w:p>
    <w:p w:rsidR="00F96DAB" w:rsidRPr="00681937" w:rsidRDefault="00F96DAB" w:rsidP="00DF2046">
      <w:pPr>
        <w:jc w:val="both"/>
        <w:rPr>
          <w:rFonts w:ascii="Arial" w:hAnsi="Arial" w:cs="Arial"/>
          <w:sz w:val="18"/>
          <w:szCs w:val="22"/>
          <w:lang w:val="en-US"/>
        </w:rPr>
      </w:pPr>
      <w:proofErr w:type="spellStart"/>
      <w:r w:rsidRPr="00F96DAB">
        <w:rPr>
          <w:rFonts w:ascii="Arial" w:hAnsi="Arial" w:cs="Arial"/>
          <w:b/>
          <w:sz w:val="18"/>
          <w:szCs w:val="22"/>
          <w:lang w:val="en-US"/>
        </w:rPr>
        <w:t>Mallarino</w:t>
      </w:r>
      <w:proofErr w:type="spellEnd"/>
      <w:r w:rsidRPr="00F96DAB">
        <w:rPr>
          <w:rFonts w:ascii="Arial" w:hAnsi="Arial" w:cs="Arial"/>
          <w:b/>
          <w:sz w:val="18"/>
          <w:szCs w:val="22"/>
          <w:lang w:val="en-US"/>
        </w:rPr>
        <w:t xml:space="preserve">, A., </w:t>
      </w:r>
      <w:proofErr w:type="spellStart"/>
      <w:r w:rsidRPr="00F96DAB">
        <w:rPr>
          <w:rFonts w:ascii="Arial" w:hAnsi="Arial" w:cs="Arial"/>
          <w:b/>
          <w:sz w:val="18"/>
          <w:szCs w:val="22"/>
          <w:lang w:val="en-US"/>
        </w:rPr>
        <w:t>Havlovic</w:t>
      </w:r>
      <w:proofErr w:type="spellEnd"/>
      <w:r w:rsidRPr="00F96DAB">
        <w:rPr>
          <w:rFonts w:ascii="Arial" w:hAnsi="Arial" w:cs="Arial"/>
          <w:b/>
          <w:sz w:val="18"/>
          <w:szCs w:val="22"/>
          <w:lang w:val="en-US"/>
        </w:rPr>
        <w:t xml:space="preserve">, B., &amp; </w:t>
      </w:r>
      <w:proofErr w:type="spellStart"/>
      <w:r w:rsidRPr="00F96DAB">
        <w:rPr>
          <w:rFonts w:ascii="Arial" w:hAnsi="Arial" w:cs="Arial"/>
          <w:b/>
          <w:sz w:val="18"/>
          <w:szCs w:val="22"/>
          <w:lang w:val="en-US"/>
        </w:rPr>
        <w:t>Schaben</w:t>
      </w:r>
      <w:proofErr w:type="spellEnd"/>
      <w:r w:rsidRPr="00F96DAB">
        <w:rPr>
          <w:rFonts w:ascii="Arial" w:hAnsi="Arial" w:cs="Arial"/>
          <w:b/>
          <w:sz w:val="18"/>
          <w:szCs w:val="22"/>
          <w:lang w:val="en-US"/>
        </w:rPr>
        <w:t>, D. (2016).</w:t>
      </w:r>
      <w:r w:rsidRPr="00681937">
        <w:rPr>
          <w:rFonts w:ascii="Arial" w:hAnsi="Arial" w:cs="Arial"/>
          <w:sz w:val="18"/>
          <w:szCs w:val="22"/>
          <w:lang w:val="en-US"/>
        </w:rPr>
        <w:t xml:space="preserve"> Effects of Broadcast and Phosphorus and Potassium Placement on Yield of Corn and Soybean Managed with Tillage or No-Tillage. Farm Progress Reports, 2015(1), 24.</w:t>
      </w:r>
    </w:p>
    <w:p w:rsidR="00F96DAB" w:rsidRPr="00F60433" w:rsidRDefault="00F96DAB" w:rsidP="00DF2046">
      <w:pPr>
        <w:jc w:val="both"/>
        <w:rPr>
          <w:rFonts w:ascii="Arial" w:hAnsi="Arial" w:cs="Arial"/>
          <w:sz w:val="18"/>
          <w:szCs w:val="22"/>
          <w:lang w:val="en-US"/>
        </w:rPr>
      </w:pPr>
      <w:proofErr w:type="spellStart"/>
      <w:r w:rsidRPr="00F96DAB">
        <w:rPr>
          <w:rFonts w:ascii="Arial" w:hAnsi="Arial" w:cs="Arial"/>
          <w:b/>
          <w:sz w:val="18"/>
          <w:szCs w:val="22"/>
          <w:lang w:val="en-US"/>
        </w:rPr>
        <w:t>Mallarino</w:t>
      </w:r>
      <w:proofErr w:type="spellEnd"/>
      <w:r w:rsidRPr="00F96DAB">
        <w:rPr>
          <w:rFonts w:ascii="Arial" w:hAnsi="Arial" w:cs="Arial"/>
          <w:b/>
          <w:sz w:val="18"/>
          <w:szCs w:val="22"/>
          <w:lang w:val="en-US"/>
        </w:rPr>
        <w:t xml:space="preserve">, A., </w:t>
      </w:r>
      <w:proofErr w:type="spellStart"/>
      <w:r w:rsidRPr="00F96DAB">
        <w:rPr>
          <w:rFonts w:ascii="Arial" w:hAnsi="Arial" w:cs="Arial"/>
          <w:b/>
          <w:sz w:val="18"/>
          <w:szCs w:val="22"/>
          <w:lang w:val="en-US"/>
        </w:rPr>
        <w:t>Oltmans</w:t>
      </w:r>
      <w:proofErr w:type="spellEnd"/>
      <w:r w:rsidRPr="00F96DAB">
        <w:rPr>
          <w:rFonts w:ascii="Arial" w:hAnsi="Arial" w:cs="Arial"/>
          <w:b/>
          <w:sz w:val="18"/>
          <w:szCs w:val="22"/>
          <w:lang w:val="en-US"/>
        </w:rPr>
        <w:t xml:space="preserve">, R. R., &amp; </w:t>
      </w:r>
      <w:proofErr w:type="spellStart"/>
      <w:r w:rsidRPr="00F96DAB">
        <w:rPr>
          <w:rFonts w:ascii="Arial" w:hAnsi="Arial" w:cs="Arial"/>
          <w:b/>
          <w:sz w:val="18"/>
          <w:szCs w:val="22"/>
          <w:lang w:val="en-US"/>
        </w:rPr>
        <w:t>Piekema</w:t>
      </w:r>
      <w:proofErr w:type="spellEnd"/>
      <w:r w:rsidRPr="00F96DAB">
        <w:rPr>
          <w:rFonts w:ascii="Arial" w:hAnsi="Arial" w:cs="Arial"/>
          <w:b/>
          <w:sz w:val="18"/>
          <w:szCs w:val="22"/>
          <w:lang w:val="en-US"/>
        </w:rPr>
        <w:t>, N.</w:t>
      </w:r>
      <w:r w:rsidRPr="00681937">
        <w:rPr>
          <w:rFonts w:ascii="Arial" w:hAnsi="Arial" w:cs="Arial"/>
          <w:sz w:val="18"/>
          <w:szCs w:val="22"/>
          <w:lang w:val="en-US"/>
        </w:rPr>
        <w:t xml:space="preserve"> (2017). Long-Term Potassium Fertilization Effects on Yield of Corn and Soybean in South Central Iowa. </w:t>
      </w:r>
      <w:r w:rsidRPr="00F60433">
        <w:rPr>
          <w:rFonts w:ascii="Arial" w:hAnsi="Arial" w:cs="Arial"/>
          <w:sz w:val="18"/>
          <w:szCs w:val="22"/>
          <w:lang w:val="en-US"/>
        </w:rPr>
        <w:t>Farm Progress Reports, 2016(1), 186.</w:t>
      </w:r>
    </w:p>
    <w:p w:rsidR="00F96DAB" w:rsidRPr="0022296B" w:rsidRDefault="00F96DAB" w:rsidP="00DF2046">
      <w:pPr>
        <w:autoSpaceDE w:val="0"/>
        <w:autoSpaceDN w:val="0"/>
        <w:adjustRightInd w:val="0"/>
        <w:jc w:val="both"/>
        <w:rPr>
          <w:rFonts w:ascii="Arial" w:hAnsi="Arial" w:cs="Arial"/>
          <w:sz w:val="18"/>
          <w:szCs w:val="22"/>
          <w:lang w:val="en-US"/>
        </w:rPr>
      </w:pPr>
      <w:proofErr w:type="spellStart"/>
      <w:r w:rsidRPr="00F60433">
        <w:rPr>
          <w:rFonts w:ascii="Arial" w:hAnsi="Arial" w:cs="Arial"/>
          <w:b/>
          <w:sz w:val="18"/>
          <w:szCs w:val="22"/>
          <w:lang w:val="en-US"/>
        </w:rPr>
        <w:t>Mallarino</w:t>
      </w:r>
      <w:proofErr w:type="spellEnd"/>
      <w:r w:rsidRPr="00F60433">
        <w:rPr>
          <w:rFonts w:ascii="Arial" w:hAnsi="Arial" w:cs="Arial"/>
          <w:b/>
          <w:sz w:val="18"/>
          <w:szCs w:val="22"/>
          <w:lang w:val="en-US"/>
        </w:rPr>
        <w:t>, A.P., y J. Prater.</w:t>
      </w:r>
      <w:r w:rsidRPr="00F60433">
        <w:rPr>
          <w:rFonts w:ascii="Arial" w:hAnsi="Arial" w:cs="Arial"/>
          <w:sz w:val="18"/>
          <w:szCs w:val="22"/>
          <w:lang w:val="en-US"/>
        </w:rPr>
        <w:t xml:space="preserve"> </w:t>
      </w:r>
      <w:r w:rsidRPr="0022296B">
        <w:rPr>
          <w:rFonts w:ascii="Arial" w:hAnsi="Arial" w:cs="Arial"/>
          <w:sz w:val="18"/>
          <w:szCs w:val="22"/>
          <w:lang w:val="en-US"/>
        </w:rPr>
        <w:t>2007. Corn and soybean grain yield, P removal, and soil-test responses to long-term phosphorus fertilization strategies. Proceeding 19th Annual Integrated Crop Management Conference, Ames, Iowa State University.</w:t>
      </w:r>
    </w:p>
    <w:p w:rsidR="00F96DAB" w:rsidRPr="00315E20" w:rsidRDefault="00F96DAB" w:rsidP="00DF2046">
      <w:pPr>
        <w:jc w:val="both"/>
        <w:rPr>
          <w:rFonts w:ascii="Arial" w:hAnsi="Arial" w:cs="Arial"/>
          <w:sz w:val="18"/>
          <w:szCs w:val="22"/>
          <w:lang w:val="es-AR"/>
        </w:rPr>
      </w:pPr>
      <w:proofErr w:type="spellStart"/>
      <w:r w:rsidRPr="0022296B">
        <w:rPr>
          <w:rFonts w:ascii="Arial" w:hAnsi="Arial" w:cs="Arial"/>
          <w:b/>
          <w:sz w:val="18"/>
          <w:szCs w:val="22"/>
          <w:lang w:val="en-US"/>
        </w:rPr>
        <w:t>Messiga</w:t>
      </w:r>
      <w:proofErr w:type="spellEnd"/>
      <w:r w:rsidRPr="0022296B">
        <w:rPr>
          <w:rFonts w:ascii="Arial" w:hAnsi="Arial" w:cs="Arial"/>
          <w:b/>
          <w:sz w:val="18"/>
          <w:szCs w:val="22"/>
          <w:lang w:val="en-US"/>
        </w:rPr>
        <w:t xml:space="preserve">, A.J., N. </w:t>
      </w:r>
      <w:proofErr w:type="spellStart"/>
      <w:r w:rsidRPr="0022296B">
        <w:rPr>
          <w:rFonts w:ascii="Arial" w:hAnsi="Arial" w:cs="Arial"/>
          <w:b/>
          <w:sz w:val="18"/>
          <w:szCs w:val="22"/>
          <w:lang w:val="en-US"/>
        </w:rPr>
        <w:t>Ziadi</w:t>
      </w:r>
      <w:proofErr w:type="spellEnd"/>
      <w:r w:rsidRPr="0022296B">
        <w:rPr>
          <w:rFonts w:ascii="Arial" w:hAnsi="Arial" w:cs="Arial"/>
          <w:b/>
          <w:sz w:val="18"/>
          <w:szCs w:val="22"/>
          <w:lang w:val="en-US"/>
        </w:rPr>
        <w:t xml:space="preserve">, D. </w:t>
      </w:r>
      <w:proofErr w:type="spellStart"/>
      <w:r w:rsidRPr="0022296B">
        <w:rPr>
          <w:rFonts w:ascii="Arial" w:hAnsi="Arial" w:cs="Arial"/>
          <w:b/>
          <w:sz w:val="18"/>
          <w:szCs w:val="22"/>
          <w:lang w:val="en-US"/>
        </w:rPr>
        <w:t>Plenet</w:t>
      </w:r>
      <w:proofErr w:type="spellEnd"/>
      <w:r w:rsidRPr="0022296B">
        <w:rPr>
          <w:rFonts w:ascii="Arial" w:hAnsi="Arial" w:cs="Arial"/>
          <w:b/>
          <w:sz w:val="18"/>
          <w:szCs w:val="22"/>
          <w:lang w:val="en-US"/>
        </w:rPr>
        <w:t>, L.E. Parent, y C. Morel.</w:t>
      </w:r>
      <w:r w:rsidRPr="0022296B">
        <w:rPr>
          <w:rFonts w:ascii="Arial" w:hAnsi="Arial" w:cs="Arial"/>
          <w:sz w:val="18"/>
          <w:szCs w:val="22"/>
          <w:lang w:val="en-US"/>
        </w:rPr>
        <w:t xml:space="preserve"> 2010. Long-term changes in soil phosphorus status related to P budgets under maize monoculture and mineral P fertilization. </w:t>
      </w:r>
      <w:proofErr w:type="spellStart"/>
      <w:r w:rsidRPr="00315E20">
        <w:rPr>
          <w:rFonts w:ascii="Arial" w:hAnsi="Arial" w:cs="Arial"/>
          <w:sz w:val="18"/>
          <w:szCs w:val="22"/>
          <w:lang w:val="es-AR"/>
        </w:rPr>
        <w:t>Soil</w:t>
      </w:r>
      <w:proofErr w:type="spellEnd"/>
      <w:r w:rsidRPr="00315E20">
        <w:rPr>
          <w:rFonts w:ascii="Arial" w:hAnsi="Arial" w:cs="Arial"/>
          <w:sz w:val="18"/>
          <w:szCs w:val="22"/>
          <w:lang w:val="es-AR"/>
        </w:rPr>
        <w:t xml:space="preserve"> Use and Management, 26, 354–364.</w:t>
      </w:r>
    </w:p>
    <w:p w:rsidR="00F96DAB" w:rsidRPr="00BC0FC6" w:rsidRDefault="00F96DAB" w:rsidP="00DF2046">
      <w:pPr>
        <w:jc w:val="both"/>
        <w:rPr>
          <w:rFonts w:ascii="Arial" w:hAnsi="Arial" w:cs="Arial"/>
          <w:sz w:val="18"/>
          <w:szCs w:val="22"/>
        </w:rPr>
      </w:pPr>
      <w:proofErr w:type="spellStart"/>
      <w:r w:rsidRPr="00F96DAB">
        <w:rPr>
          <w:rFonts w:ascii="Arial" w:hAnsi="Arial" w:cs="Arial"/>
          <w:b/>
          <w:sz w:val="18"/>
          <w:szCs w:val="22"/>
          <w:lang w:val="pt-BR"/>
        </w:rPr>
        <w:t>Miguez</w:t>
      </w:r>
      <w:proofErr w:type="spellEnd"/>
      <w:r w:rsidRPr="00F96DAB">
        <w:rPr>
          <w:rFonts w:ascii="Arial" w:hAnsi="Arial" w:cs="Arial"/>
          <w:b/>
          <w:sz w:val="18"/>
          <w:szCs w:val="22"/>
          <w:lang w:val="pt-BR"/>
        </w:rPr>
        <w:t xml:space="preserve">, F. e I. </w:t>
      </w:r>
      <w:proofErr w:type="spellStart"/>
      <w:r w:rsidRPr="00F96DAB">
        <w:rPr>
          <w:rFonts w:ascii="Arial" w:hAnsi="Arial" w:cs="Arial"/>
          <w:b/>
          <w:sz w:val="18"/>
          <w:szCs w:val="22"/>
          <w:lang w:val="pt-BR"/>
        </w:rPr>
        <w:t>Daverede</w:t>
      </w:r>
      <w:proofErr w:type="spellEnd"/>
      <w:r w:rsidRPr="00F96DAB">
        <w:rPr>
          <w:rFonts w:ascii="Arial" w:hAnsi="Arial" w:cs="Arial"/>
          <w:b/>
          <w:sz w:val="18"/>
          <w:szCs w:val="22"/>
          <w:lang w:val="pt-BR"/>
        </w:rPr>
        <w:t>.</w:t>
      </w:r>
      <w:r w:rsidRPr="00F96DAB">
        <w:rPr>
          <w:rFonts w:ascii="Arial" w:hAnsi="Arial" w:cs="Arial"/>
          <w:sz w:val="18"/>
          <w:szCs w:val="22"/>
          <w:lang w:val="pt-BR"/>
        </w:rPr>
        <w:t xml:space="preserve"> </w:t>
      </w:r>
      <w:r w:rsidRPr="00BC0FC6">
        <w:rPr>
          <w:rFonts w:ascii="Arial" w:hAnsi="Arial" w:cs="Arial"/>
          <w:sz w:val="18"/>
          <w:szCs w:val="22"/>
        </w:rPr>
        <w:t xml:space="preserve">2015. </w:t>
      </w:r>
      <w:r>
        <w:rPr>
          <w:rFonts w:ascii="Arial" w:hAnsi="Arial" w:cs="Arial"/>
          <w:sz w:val="18"/>
          <w:szCs w:val="22"/>
        </w:rPr>
        <w:t xml:space="preserve">Análisis económico de rotaciones y fertilización en soja. </w:t>
      </w:r>
      <w:proofErr w:type="spellStart"/>
      <w:proofErr w:type="gramStart"/>
      <w:r>
        <w:rPr>
          <w:rFonts w:ascii="Arial" w:hAnsi="Arial" w:cs="Arial"/>
          <w:sz w:val="18"/>
          <w:szCs w:val="22"/>
        </w:rPr>
        <w:t>pp</w:t>
      </w:r>
      <w:proofErr w:type="spellEnd"/>
      <w:proofErr w:type="gramEnd"/>
      <w:r>
        <w:rPr>
          <w:rFonts w:ascii="Arial" w:hAnsi="Arial" w:cs="Arial"/>
          <w:sz w:val="18"/>
          <w:szCs w:val="22"/>
        </w:rPr>
        <w:t xml:space="preserve"> 155-158. </w:t>
      </w:r>
      <w:r w:rsidRPr="00BC0FC6">
        <w:rPr>
          <w:rFonts w:ascii="Arial" w:hAnsi="Arial" w:cs="Arial"/>
          <w:sz w:val="18"/>
          <w:szCs w:val="22"/>
        </w:rPr>
        <w:t xml:space="preserve">Actas del Simposio Fertilidad 2015. </w:t>
      </w:r>
      <w:r>
        <w:rPr>
          <w:rFonts w:ascii="Arial" w:hAnsi="Arial" w:cs="Arial"/>
          <w:sz w:val="18"/>
          <w:szCs w:val="22"/>
        </w:rPr>
        <w:t xml:space="preserve">Sesión de Posters. </w:t>
      </w:r>
      <w:proofErr w:type="spellStart"/>
      <w:r w:rsidRPr="00BC0FC6">
        <w:rPr>
          <w:rFonts w:ascii="Arial" w:hAnsi="Arial" w:cs="Arial"/>
          <w:sz w:val="18"/>
          <w:szCs w:val="22"/>
        </w:rPr>
        <w:t>Cd-ROM</w:t>
      </w:r>
      <w:proofErr w:type="spellEnd"/>
      <w:r w:rsidRPr="00BC0FC6">
        <w:rPr>
          <w:rFonts w:ascii="Arial" w:hAnsi="Arial" w:cs="Arial"/>
          <w:sz w:val="18"/>
          <w:szCs w:val="22"/>
        </w:rPr>
        <w:t>.</w:t>
      </w:r>
    </w:p>
    <w:p w:rsidR="00F96DAB" w:rsidRPr="00F60433" w:rsidRDefault="00F96DAB" w:rsidP="00DF2046">
      <w:pPr>
        <w:autoSpaceDE w:val="0"/>
        <w:autoSpaceDN w:val="0"/>
        <w:adjustRightInd w:val="0"/>
        <w:jc w:val="both"/>
        <w:rPr>
          <w:rFonts w:ascii="Arial" w:hAnsi="Arial" w:cs="Arial"/>
          <w:sz w:val="18"/>
          <w:szCs w:val="18"/>
          <w:lang w:val="en-US" w:eastAsia="es-AR"/>
        </w:rPr>
      </w:pPr>
      <w:r>
        <w:rPr>
          <w:rFonts w:ascii="Arial" w:hAnsi="Arial" w:cs="Arial"/>
          <w:b/>
          <w:bCs/>
          <w:sz w:val="18"/>
          <w:szCs w:val="18"/>
          <w:lang w:val="es-AR" w:eastAsia="es-AR"/>
        </w:rPr>
        <w:t xml:space="preserve">Rubio G, MJ Cabello, FH. </w:t>
      </w:r>
      <w:r w:rsidRPr="003832E7">
        <w:rPr>
          <w:rFonts w:ascii="Arial" w:hAnsi="Arial" w:cs="Arial"/>
          <w:b/>
          <w:bCs/>
          <w:sz w:val="18"/>
          <w:szCs w:val="18"/>
          <w:lang w:val="en-US" w:eastAsia="es-AR"/>
        </w:rPr>
        <w:t xml:space="preserve">Gutiérrez </w:t>
      </w:r>
      <w:proofErr w:type="spellStart"/>
      <w:r w:rsidRPr="003832E7">
        <w:rPr>
          <w:rFonts w:ascii="Arial" w:hAnsi="Arial" w:cs="Arial"/>
          <w:b/>
          <w:bCs/>
          <w:sz w:val="18"/>
          <w:szCs w:val="18"/>
          <w:lang w:val="en-US" w:eastAsia="es-AR"/>
        </w:rPr>
        <w:t>Boem</w:t>
      </w:r>
      <w:proofErr w:type="spellEnd"/>
      <w:r w:rsidRPr="003832E7">
        <w:rPr>
          <w:rFonts w:ascii="Arial" w:hAnsi="Arial" w:cs="Arial"/>
          <w:b/>
          <w:bCs/>
          <w:sz w:val="18"/>
          <w:szCs w:val="18"/>
          <w:lang w:val="en-US" w:eastAsia="es-AR"/>
        </w:rPr>
        <w:t xml:space="preserve">, E. </w:t>
      </w:r>
      <w:proofErr w:type="spellStart"/>
      <w:r w:rsidRPr="003832E7">
        <w:rPr>
          <w:rFonts w:ascii="Arial" w:hAnsi="Arial" w:cs="Arial"/>
          <w:b/>
          <w:bCs/>
          <w:sz w:val="18"/>
          <w:szCs w:val="18"/>
          <w:lang w:val="en-US" w:eastAsia="es-AR"/>
        </w:rPr>
        <w:t>Munaro</w:t>
      </w:r>
      <w:proofErr w:type="spellEnd"/>
      <w:r w:rsidRPr="003832E7">
        <w:rPr>
          <w:rFonts w:ascii="Arial" w:hAnsi="Arial" w:cs="Arial"/>
          <w:sz w:val="18"/>
          <w:szCs w:val="18"/>
          <w:lang w:val="en-US" w:eastAsia="es-AR"/>
        </w:rPr>
        <w:t xml:space="preserve">. 2008. </w:t>
      </w:r>
      <w:r w:rsidRPr="00315E20">
        <w:rPr>
          <w:rFonts w:ascii="Arial" w:hAnsi="Arial" w:cs="Arial"/>
          <w:sz w:val="18"/>
          <w:szCs w:val="18"/>
          <w:lang w:val="en-US" w:eastAsia="es-AR"/>
        </w:rPr>
        <w:t xml:space="preserve">Estimating available soil P increases after P additions </w:t>
      </w:r>
      <w:proofErr w:type="gramStart"/>
      <w:r w:rsidRPr="00315E20">
        <w:rPr>
          <w:rFonts w:ascii="Arial" w:hAnsi="Arial" w:cs="Arial"/>
          <w:sz w:val="18"/>
          <w:szCs w:val="18"/>
          <w:lang w:val="en-US" w:eastAsia="es-AR"/>
        </w:rPr>
        <w:t xml:space="preserve">in </w:t>
      </w:r>
      <w:r>
        <w:rPr>
          <w:rFonts w:ascii="Arial" w:hAnsi="Arial" w:cs="Arial"/>
          <w:sz w:val="18"/>
          <w:szCs w:val="18"/>
          <w:lang w:val="en-US" w:eastAsia="es-AR"/>
        </w:rPr>
        <w:t xml:space="preserve"> </w:t>
      </w:r>
      <w:proofErr w:type="spellStart"/>
      <w:r>
        <w:rPr>
          <w:rFonts w:ascii="Arial" w:hAnsi="Arial" w:cs="Arial"/>
          <w:sz w:val="18"/>
          <w:szCs w:val="18"/>
          <w:lang w:val="en-US" w:eastAsia="es-AR"/>
        </w:rPr>
        <w:t>M</w:t>
      </w:r>
      <w:r w:rsidRPr="00DD5B3C">
        <w:rPr>
          <w:rFonts w:ascii="Arial" w:hAnsi="Arial" w:cs="Arial"/>
          <w:sz w:val="18"/>
          <w:szCs w:val="18"/>
          <w:lang w:val="en-US" w:eastAsia="es-AR"/>
        </w:rPr>
        <w:t>ollisols</w:t>
      </w:r>
      <w:proofErr w:type="spellEnd"/>
      <w:proofErr w:type="gramEnd"/>
      <w:r w:rsidRPr="00DD5B3C">
        <w:rPr>
          <w:rFonts w:ascii="Arial" w:hAnsi="Arial" w:cs="Arial"/>
          <w:sz w:val="18"/>
          <w:szCs w:val="18"/>
          <w:lang w:val="en-US" w:eastAsia="es-AR"/>
        </w:rPr>
        <w:t xml:space="preserve">. </w:t>
      </w:r>
      <w:r w:rsidRPr="00F60433">
        <w:rPr>
          <w:rFonts w:ascii="Arial" w:hAnsi="Arial" w:cs="Arial"/>
          <w:sz w:val="18"/>
          <w:szCs w:val="18"/>
          <w:lang w:val="en-US" w:eastAsia="es-AR"/>
        </w:rPr>
        <w:t>Soil Science Soc. Amer. J. 72:1721-1727.</w:t>
      </w:r>
    </w:p>
    <w:p w:rsidR="00F96DAB" w:rsidRPr="00F60433" w:rsidRDefault="00F96DAB" w:rsidP="00DF2046">
      <w:pPr>
        <w:jc w:val="both"/>
        <w:rPr>
          <w:rFonts w:ascii="Arial" w:hAnsi="Arial" w:cs="Arial"/>
          <w:sz w:val="18"/>
          <w:szCs w:val="22"/>
          <w:lang w:val="en-US"/>
        </w:rPr>
      </w:pPr>
      <w:r w:rsidRPr="00F96DAB">
        <w:rPr>
          <w:rFonts w:ascii="Arial" w:hAnsi="Arial" w:cs="Arial"/>
          <w:b/>
          <w:sz w:val="18"/>
          <w:szCs w:val="22"/>
          <w:lang w:val="en-US"/>
        </w:rPr>
        <w:t xml:space="preserve">Schlegel, A. J., &amp; </w:t>
      </w:r>
      <w:proofErr w:type="spellStart"/>
      <w:r w:rsidRPr="00F96DAB">
        <w:rPr>
          <w:rFonts w:ascii="Arial" w:hAnsi="Arial" w:cs="Arial"/>
          <w:b/>
          <w:sz w:val="18"/>
          <w:szCs w:val="22"/>
          <w:lang w:val="en-US"/>
        </w:rPr>
        <w:t>Havlin</w:t>
      </w:r>
      <w:proofErr w:type="spellEnd"/>
      <w:r w:rsidRPr="00F96DAB">
        <w:rPr>
          <w:rFonts w:ascii="Arial" w:hAnsi="Arial" w:cs="Arial"/>
          <w:b/>
          <w:sz w:val="18"/>
          <w:szCs w:val="22"/>
          <w:lang w:val="en-US"/>
        </w:rPr>
        <w:t>, J. L.</w:t>
      </w:r>
      <w:r w:rsidRPr="00681937">
        <w:rPr>
          <w:rFonts w:ascii="Arial" w:hAnsi="Arial" w:cs="Arial"/>
          <w:sz w:val="18"/>
          <w:szCs w:val="22"/>
          <w:lang w:val="en-US"/>
        </w:rPr>
        <w:t xml:space="preserve"> (1995). Corn response to long-term nitrogen and phosphorus fertilization. </w:t>
      </w:r>
      <w:r w:rsidRPr="00F60433">
        <w:rPr>
          <w:rFonts w:ascii="Arial" w:hAnsi="Arial" w:cs="Arial"/>
          <w:sz w:val="18"/>
          <w:szCs w:val="22"/>
          <w:lang w:val="en-US"/>
        </w:rPr>
        <w:t>Journal of Production Agriculture, 8(2), 181-185.</w:t>
      </w:r>
    </w:p>
    <w:p w:rsidR="00F96DAB" w:rsidRPr="00F96DAB" w:rsidRDefault="00F96DAB" w:rsidP="00DF2046">
      <w:pPr>
        <w:jc w:val="both"/>
        <w:rPr>
          <w:rFonts w:ascii="Arial" w:hAnsi="Arial" w:cs="Arial"/>
          <w:color w:val="222222"/>
          <w:sz w:val="20"/>
          <w:szCs w:val="20"/>
          <w:lang w:val="en-US"/>
        </w:rPr>
      </w:pPr>
      <w:r w:rsidRPr="00F96DAB">
        <w:rPr>
          <w:rFonts w:ascii="Arial" w:hAnsi="Arial" w:cs="Arial"/>
          <w:b/>
          <w:color w:val="222222"/>
          <w:sz w:val="20"/>
          <w:szCs w:val="20"/>
          <w:lang w:val="en-US"/>
        </w:rPr>
        <w:t xml:space="preserve">Singh, J., </w:t>
      </w:r>
      <w:proofErr w:type="spellStart"/>
      <w:r w:rsidRPr="00F96DAB">
        <w:rPr>
          <w:rFonts w:ascii="Arial" w:hAnsi="Arial" w:cs="Arial"/>
          <w:b/>
          <w:color w:val="222222"/>
          <w:sz w:val="20"/>
          <w:szCs w:val="20"/>
          <w:lang w:val="en-US"/>
        </w:rPr>
        <w:t>Brar</w:t>
      </w:r>
      <w:proofErr w:type="spellEnd"/>
      <w:r w:rsidRPr="00F96DAB">
        <w:rPr>
          <w:rFonts w:ascii="Arial" w:hAnsi="Arial" w:cs="Arial"/>
          <w:b/>
          <w:color w:val="222222"/>
          <w:sz w:val="20"/>
          <w:szCs w:val="20"/>
          <w:lang w:val="en-US"/>
        </w:rPr>
        <w:t xml:space="preserve">, B. S., </w:t>
      </w:r>
      <w:proofErr w:type="spellStart"/>
      <w:r w:rsidRPr="00F96DAB">
        <w:rPr>
          <w:rFonts w:ascii="Arial" w:hAnsi="Arial" w:cs="Arial"/>
          <w:b/>
          <w:color w:val="222222"/>
          <w:sz w:val="20"/>
          <w:szCs w:val="20"/>
          <w:lang w:val="en-US"/>
        </w:rPr>
        <w:t>Sekhon</w:t>
      </w:r>
      <w:proofErr w:type="spellEnd"/>
      <w:r w:rsidRPr="00F96DAB">
        <w:rPr>
          <w:rFonts w:ascii="Arial" w:hAnsi="Arial" w:cs="Arial"/>
          <w:b/>
          <w:color w:val="222222"/>
          <w:sz w:val="20"/>
          <w:szCs w:val="20"/>
          <w:lang w:val="en-US"/>
        </w:rPr>
        <w:t xml:space="preserve">, B. S., </w:t>
      </w:r>
      <w:proofErr w:type="spellStart"/>
      <w:r w:rsidRPr="00F96DAB">
        <w:rPr>
          <w:rFonts w:ascii="Arial" w:hAnsi="Arial" w:cs="Arial"/>
          <w:b/>
          <w:color w:val="222222"/>
          <w:sz w:val="20"/>
          <w:szCs w:val="20"/>
          <w:lang w:val="en-US"/>
        </w:rPr>
        <w:t>Mavi</w:t>
      </w:r>
      <w:proofErr w:type="spellEnd"/>
      <w:r w:rsidRPr="00F96DAB">
        <w:rPr>
          <w:rFonts w:ascii="Arial" w:hAnsi="Arial" w:cs="Arial"/>
          <w:b/>
          <w:color w:val="222222"/>
          <w:sz w:val="20"/>
          <w:szCs w:val="20"/>
          <w:lang w:val="en-US"/>
        </w:rPr>
        <w:t>, M. S., Singh, G., &amp; Kaur, G.</w:t>
      </w:r>
      <w:r w:rsidRPr="00681937">
        <w:rPr>
          <w:rFonts w:ascii="Arial" w:hAnsi="Arial" w:cs="Arial"/>
          <w:color w:val="222222"/>
          <w:sz w:val="20"/>
          <w:szCs w:val="20"/>
          <w:lang w:val="en-US"/>
        </w:rPr>
        <w:t xml:space="preserve"> (2016). Impact of long-term phosphorous fertilization on Olsen-P and grain yields in maize–wheat cropping sequence. </w:t>
      </w:r>
      <w:r w:rsidRPr="00F96DAB">
        <w:rPr>
          <w:rFonts w:ascii="Arial" w:hAnsi="Arial" w:cs="Arial"/>
          <w:i/>
          <w:iCs/>
          <w:color w:val="222222"/>
          <w:sz w:val="20"/>
          <w:szCs w:val="20"/>
          <w:lang w:val="en-US"/>
        </w:rPr>
        <w:t xml:space="preserve">Nutrient cycling in </w:t>
      </w:r>
      <w:proofErr w:type="spellStart"/>
      <w:r w:rsidRPr="00F96DAB">
        <w:rPr>
          <w:rFonts w:ascii="Arial" w:hAnsi="Arial" w:cs="Arial"/>
          <w:i/>
          <w:iCs/>
          <w:color w:val="222222"/>
          <w:sz w:val="20"/>
          <w:szCs w:val="20"/>
          <w:lang w:val="en-US"/>
        </w:rPr>
        <w:t>agroecosystems</w:t>
      </w:r>
      <w:proofErr w:type="spellEnd"/>
      <w:r w:rsidRPr="00F96DAB">
        <w:rPr>
          <w:rFonts w:ascii="Arial" w:hAnsi="Arial" w:cs="Arial"/>
          <w:color w:val="222222"/>
          <w:sz w:val="20"/>
          <w:szCs w:val="20"/>
          <w:lang w:val="en-US"/>
        </w:rPr>
        <w:t xml:space="preserve">, </w:t>
      </w:r>
      <w:r w:rsidRPr="00F96DAB">
        <w:rPr>
          <w:rFonts w:ascii="Arial" w:hAnsi="Arial" w:cs="Arial"/>
          <w:i/>
          <w:iCs/>
          <w:color w:val="222222"/>
          <w:sz w:val="20"/>
          <w:szCs w:val="20"/>
          <w:lang w:val="en-US"/>
        </w:rPr>
        <w:t>106</w:t>
      </w:r>
      <w:r w:rsidRPr="00F96DAB">
        <w:rPr>
          <w:rFonts w:ascii="Arial" w:hAnsi="Arial" w:cs="Arial"/>
          <w:color w:val="222222"/>
          <w:sz w:val="20"/>
          <w:szCs w:val="20"/>
          <w:lang w:val="en-US"/>
        </w:rPr>
        <w:t>(2), 157-168.</w:t>
      </w:r>
    </w:p>
    <w:p w:rsidR="00F96DAB" w:rsidRDefault="00F96DAB" w:rsidP="00DF2046">
      <w:pPr>
        <w:jc w:val="both"/>
        <w:rPr>
          <w:rFonts w:ascii="Arial" w:hAnsi="Arial" w:cs="Arial"/>
          <w:sz w:val="18"/>
          <w:szCs w:val="22"/>
          <w:lang w:val="es-AR"/>
        </w:rPr>
      </w:pPr>
      <w:proofErr w:type="spellStart"/>
      <w:r w:rsidRPr="00F96DAB">
        <w:rPr>
          <w:rFonts w:ascii="Arial" w:hAnsi="Arial" w:cs="Arial"/>
          <w:b/>
          <w:sz w:val="18"/>
          <w:szCs w:val="22"/>
          <w:lang w:val="en-US"/>
        </w:rPr>
        <w:t>Trlica</w:t>
      </w:r>
      <w:proofErr w:type="spellEnd"/>
      <w:r w:rsidRPr="00F96DAB">
        <w:rPr>
          <w:rFonts w:ascii="Arial" w:hAnsi="Arial" w:cs="Arial"/>
          <w:b/>
          <w:sz w:val="18"/>
          <w:szCs w:val="22"/>
          <w:lang w:val="en-US"/>
        </w:rPr>
        <w:t xml:space="preserve">, A., </w:t>
      </w:r>
      <w:proofErr w:type="spellStart"/>
      <w:r w:rsidRPr="00F96DAB">
        <w:rPr>
          <w:rFonts w:ascii="Arial" w:hAnsi="Arial" w:cs="Arial"/>
          <w:b/>
          <w:sz w:val="18"/>
          <w:szCs w:val="22"/>
          <w:lang w:val="en-US"/>
        </w:rPr>
        <w:t>Walia</w:t>
      </w:r>
      <w:proofErr w:type="spellEnd"/>
      <w:r w:rsidRPr="00F96DAB">
        <w:rPr>
          <w:rFonts w:ascii="Arial" w:hAnsi="Arial" w:cs="Arial"/>
          <w:b/>
          <w:sz w:val="18"/>
          <w:szCs w:val="22"/>
          <w:lang w:val="en-US"/>
        </w:rPr>
        <w:t xml:space="preserve">, M. K., </w:t>
      </w:r>
      <w:proofErr w:type="spellStart"/>
      <w:r w:rsidRPr="00F96DAB">
        <w:rPr>
          <w:rFonts w:ascii="Arial" w:hAnsi="Arial" w:cs="Arial"/>
          <w:b/>
          <w:sz w:val="18"/>
          <w:szCs w:val="22"/>
          <w:lang w:val="en-US"/>
        </w:rPr>
        <w:t>Krausz</w:t>
      </w:r>
      <w:proofErr w:type="spellEnd"/>
      <w:r w:rsidRPr="00F96DAB">
        <w:rPr>
          <w:rFonts w:ascii="Arial" w:hAnsi="Arial" w:cs="Arial"/>
          <w:b/>
          <w:sz w:val="18"/>
          <w:szCs w:val="22"/>
          <w:lang w:val="en-US"/>
        </w:rPr>
        <w:t xml:space="preserve">, R., </w:t>
      </w:r>
      <w:proofErr w:type="spellStart"/>
      <w:r w:rsidRPr="00F96DAB">
        <w:rPr>
          <w:rFonts w:ascii="Arial" w:hAnsi="Arial" w:cs="Arial"/>
          <w:b/>
          <w:sz w:val="18"/>
          <w:szCs w:val="22"/>
          <w:lang w:val="en-US"/>
        </w:rPr>
        <w:t>Secchi</w:t>
      </w:r>
      <w:proofErr w:type="spellEnd"/>
      <w:r w:rsidRPr="00F96DAB">
        <w:rPr>
          <w:rFonts w:ascii="Arial" w:hAnsi="Arial" w:cs="Arial"/>
          <w:b/>
          <w:sz w:val="18"/>
          <w:szCs w:val="22"/>
          <w:lang w:val="en-US"/>
        </w:rPr>
        <w:t>, S., &amp; Cook, R. L.</w:t>
      </w:r>
      <w:r w:rsidRPr="00681937">
        <w:rPr>
          <w:rFonts w:ascii="Arial" w:hAnsi="Arial" w:cs="Arial"/>
          <w:sz w:val="18"/>
          <w:szCs w:val="22"/>
          <w:lang w:val="en-US"/>
        </w:rPr>
        <w:t xml:space="preserve"> (2017). Continuous Corn and Corn–Soybean Profits over a 45-Year Tillage and Fertilizer Experiment. </w:t>
      </w:r>
      <w:proofErr w:type="spellStart"/>
      <w:r w:rsidRPr="00681937">
        <w:rPr>
          <w:rFonts w:ascii="Arial" w:hAnsi="Arial" w:cs="Arial"/>
          <w:sz w:val="18"/>
          <w:szCs w:val="22"/>
          <w:lang w:val="es-AR"/>
        </w:rPr>
        <w:t>Agronomy</w:t>
      </w:r>
      <w:proofErr w:type="spellEnd"/>
      <w:r w:rsidRPr="00681937">
        <w:rPr>
          <w:rFonts w:ascii="Arial" w:hAnsi="Arial" w:cs="Arial"/>
          <w:sz w:val="18"/>
          <w:szCs w:val="22"/>
          <w:lang w:val="es-AR"/>
        </w:rPr>
        <w:t xml:space="preserve"> </w:t>
      </w:r>
      <w:proofErr w:type="spellStart"/>
      <w:r w:rsidRPr="00681937">
        <w:rPr>
          <w:rFonts w:ascii="Arial" w:hAnsi="Arial" w:cs="Arial"/>
          <w:sz w:val="18"/>
          <w:szCs w:val="22"/>
          <w:lang w:val="es-AR"/>
        </w:rPr>
        <w:t>Journal</w:t>
      </w:r>
      <w:proofErr w:type="spellEnd"/>
      <w:r w:rsidRPr="00681937">
        <w:rPr>
          <w:rFonts w:ascii="Arial" w:hAnsi="Arial" w:cs="Arial"/>
          <w:sz w:val="18"/>
          <w:szCs w:val="22"/>
          <w:lang w:val="es-AR"/>
        </w:rPr>
        <w:t>, 109(1), 218-226.</w:t>
      </w:r>
    </w:p>
    <w:p w:rsidR="00F96DAB" w:rsidRPr="00F60433" w:rsidRDefault="00F96DAB" w:rsidP="00DF2046">
      <w:pPr>
        <w:jc w:val="both"/>
        <w:rPr>
          <w:rFonts w:ascii="Arial" w:hAnsi="Arial" w:cs="Arial"/>
          <w:sz w:val="18"/>
          <w:szCs w:val="22"/>
          <w:lang w:val="es-AR"/>
        </w:rPr>
      </w:pPr>
      <w:proofErr w:type="spellStart"/>
      <w:r w:rsidRPr="0016451E">
        <w:rPr>
          <w:rFonts w:ascii="Arial" w:hAnsi="Arial" w:cs="Arial"/>
          <w:b/>
          <w:sz w:val="18"/>
          <w:szCs w:val="22"/>
          <w:lang w:val="es-AR"/>
        </w:rPr>
        <w:t>Ventimiglia</w:t>
      </w:r>
      <w:proofErr w:type="spellEnd"/>
      <w:r w:rsidRPr="0016451E">
        <w:rPr>
          <w:rFonts w:ascii="Arial" w:hAnsi="Arial" w:cs="Arial"/>
          <w:b/>
          <w:sz w:val="18"/>
          <w:szCs w:val="22"/>
          <w:lang w:val="es-AR"/>
        </w:rPr>
        <w:t xml:space="preserve">, L.,  L. Torrens </w:t>
      </w:r>
      <w:proofErr w:type="spellStart"/>
      <w:r w:rsidRPr="0016451E">
        <w:rPr>
          <w:rFonts w:ascii="Arial" w:hAnsi="Arial" w:cs="Arial"/>
          <w:b/>
          <w:sz w:val="18"/>
          <w:szCs w:val="22"/>
          <w:lang w:val="es-AR"/>
        </w:rPr>
        <w:t>Baudrix</w:t>
      </w:r>
      <w:proofErr w:type="spellEnd"/>
      <w:r w:rsidRPr="0016451E">
        <w:rPr>
          <w:rFonts w:ascii="Arial" w:hAnsi="Arial" w:cs="Arial"/>
          <w:b/>
          <w:sz w:val="18"/>
          <w:szCs w:val="22"/>
          <w:lang w:val="es-AR"/>
        </w:rPr>
        <w:t xml:space="preserve"> y M. </w:t>
      </w:r>
      <w:proofErr w:type="spellStart"/>
      <w:r w:rsidRPr="0016451E">
        <w:rPr>
          <w:rFonts w:ascii="Arial" w:hAnsi="Arial" w:cs="Arial"/>
          <w:b/>
          <w:sz w:val="18"/>
          <w:szCs w:val="22"/>
          <w:lang w:val="es-AR"/>
        </w:rPr>
        <w:t>Saks</w:t>
      </w:r>
      <w:proofErr w:type="spellEnd"/>
      <w:r w:rsidRPr="0016451E">
        <w:rPr>
          <w:rFonts w:ascii="Arial" w:hAnsi="Arial" w:cs="Arial"/>
          <w:b/>
          <w:sz w:val="18"/>
          <w:szCs w:val="22"/>
          <w:lang w:val="es-AR"/>
        </w:rPr>
        <w:t>.</w:t>
      </w:r>
      <w:r>
        <w:rPr>
          <w:rFonts w:ascii="Arial" w:hAnsi="Arial" w:cs="Arial"/>
          <w:sz w:val="18"/>
          <w:szCs w:val="22"/>
          <w:lang w:val="es-AR"/>
        </w:rPr>
        <w:t xml:space="preserve"> 2012. </w:t>
      </w:r>
      <w:r w:rsidRPr="0016451E">
        <w:rPr>
          <w:rFonts w:ascii="Arial" w:hAnsi="Arial" w:cs="Arial"/>
          <w:sz w:val="18"/>
          <w:szCs w:val="22"/>
          <w:lang w:val="es-AR"/>
        </w:rPr>
        <w:t xml:space="preserve">Fósforo en la </w:t>
      </w:r>
      <w:proofErr w:type="spellStart"/>
      <w:r w:rsidRPr="0016451E">
        <w:rPr>
          <w:rFonts w:ascii="Arial" w:hAnsi="Arial" w:cs="Arial"/>
          <w:sz w:val="18"/>
          <w:szCs w:val="22"/>
          <w:lang w:val="es-AR"/>
        </w:rPr>
        <w:t>monocultura</w:t>
      </w:r>
      <w:proofErr w:type="spellEnd"/>
      <w:r w:rsidRPr="0016451E">
        <w:rPr>
          <w:rFonts w:ascii="Arial" w:hAnsi="Arial" w:cs="Arial"/>
          <w:sz w:val="18"/>
          <w:szCs w:val="22"/>
          <w:lang w:val="es-AR"/>
        </w:rPr>
        <w:t xml:space="preserve"> sojera: efecto de la dosis, forma y</w:t>
      </w:r>
      <w:r>
        <w:rPr>
          <w:rFonts w:ascii="Arial" w:hAnsi="Arial" w:cs="Arial"/>
          <w:sz w:val="18"/>
          <w:szCs w:val="22"/>
          <w:lang w:val="es-AR"/>
        </w:rPr>
        <w:t xml:space="preserve"> </w:t>
      </w:r>
      <w:r w:rsidRPr="0016451E">
        <w:rPr>
          <w:rFonts w:ascii="Arial" w:hAnsi="Arial" w:cs="Arial"/>
          <w:sz w:val="18"/>
          <w:szCs w:val="22"/>
          <w:lang w:val="es-AR"/>
        </w:rPr>
        <w:t>momento de aplicación sobre el balance nutricional</w:t>
      </w:r>
      <w:r>
        <w:rPr>
          <w:rFonts w:ascii="Arial" w:hAnsi="Arial" w:cs="Arial"/>
          <w:sz w:val="18"/>
          <w:szCs w:val="22"/>
          <w:lang w:val="es-AR"/>
        </w:rPr>
        <w:t xml:space="preserve">. </w:t>
      </w:r>
      <w:r w:rsidRPr="00F60433">
        <w:rPr>
          <w:rFonts w:ascii="Arial" w:hAnsi="Arial" w:cs="Arial"/>
          <w:sz w:val="18"/>
          <w:szCs w:val="22"/>
          <w:lang w:val="es-AR"/>
        </w:rPr>
        <w:t xml:space="preserve">Informaciones Agronómicas Hispanoamérica 6: 23-26. </w:t>
      </w:r>
    </w:p>
    <w:p w:rsidR="00F96DAB" w:rsidRPr="00DF2046" w:rsidRDefault="00F96DAB" w:rsidP="00DF2046">
      <w:pPr>
        <w:jc w:val="both"/>
        <w:rPr>
          <w:rFonts w:ascii="Arial" w:hAnsi="Arial" w:cs="Arial"/>
          <w:sz w:val="18"/>
          <w:szCs w:val="22"/>
          <w:lang w:val="en-US"/>
        </w:rPr>
      </w:pPr>
      <w:proofErr w:type="spellStart"/>
      <w:r w:rsidRPr="00CB6AD5">
        <w:rPr>
          <w:rFonts w:ascii="Arial" w:hAnsi="Arial" w:cs="Arial"/>
          <w:b/>
          <w:sz w:val="18"/>
          <w:szCs w:val="22"/>
        </w:rPr>
        <w:t>Wu</w:t>
      </w:r>
      <w:proofErr w:type="spellEnd"/>
      <w:r w:rsidRPr="00CB6AD5">
        <w:rPr>
          <w:rFonts w:ascii="Arial" w:hAnsi="Arial" w:cs="Arial"/>
          <w:b/>
          <w:sz w:val="18"/>
          <w:szCs w:val="22"/>
        </w:rPr>
        <w:t xml:space="preserve">, Q., Zhang, S., </w:t>
      </w:r>
      <w:proofErr w:type="spellStart"/>
      <w:r w:rsidRPr="00CB6AD5">
        <w:rPr>
          <w:rFonts w:ascii="Arial" w:hAnsi="Arial" w:cs="Arial"/>
          <w:b/>
          <w:sz w:val="18"/>
          <w:szCs w:val="22"/>
        </w:rPr>
        <w:t>Zhu</w:t>
      </w:r>
      <w:proofErr w:type="spellEnd"/>
      <w:r w:rsidRPr="00CB6AD5">
        <w:rPr>
          <w:rFonts w:ascii="Arial" w:hAnsi="Arial" w:cs="Arial"/>
          <w:b/>
          <w:sz w:val="18"/>
          <w:szCs w:val="22"/>
        </w:rPr>
        <w:t xml:space="preserve">, P., </w:t>
      </w:r>
      <w:proofErr w:type="spellStart"/>
      <w:r w:rsidRPr="00CB6AD5">
        <w:rPr>
          <w:rFonts w:ascii="Arial" w:hAnsi="Arial" w:cs="Arial"/>
          <w:b/>
          <w:sz w:val="18"/>
          <w:szCs w:val="22"/>
        </w:rPr>
        <w:t>Huang</w:t>
      </w:r>
      <w:proofErr w:type="spellEnd"/>
      <w:r w:rsidRPr="00CB6AD5">
        <w:rPr>
          <w:rFonts w:ascii="Arial" w:hAnsi="Arial" w:cs="Arial"/>
          <w:b/>
          <w:sz w:val="18"/>
          <w:szCs w:val="22"/>
        </w:rPr>
        <w:t xml:space="preserve">, S., Wang, B., </w:t>
      </w:r>
      <w:proofErr w:type="spellStart"/>
      <w:r w:rsidRPr="00CB6AD5">
        <w:rPr>
          <w:rFonts w:ascii="Arial" w:hAnsi="Arial" w:cs="Arial"/>
          <w:b/>
          <w:sz w:val="18"/>
          <w:szCs w:val="22"/>
        </w:rPr>
        <w:t>Zhao</w:t>
      </w:r>
      <w:proofErr w:type="spellEnd"/>
      <w:r w:rsidRPr="00CB6AD5">
        <w:rPr>
          <w:rFonts w:ascii="Arial" w:hAnsi="Arial" w:cs="Arial"/>
          <w:b/>
          <w:sz w:val="18"/>
          <w:szCs w:val="22"/>
        </w:rPr>
        <w:t xml:space="preserve">, L., &amp; </w:t>
      </w:r>
      <w:proofErr w:type="spellStart"/>
      <w:r w:rsidRPr="00CB6AD5">
        <w:rPr>
          <w:rFonts w:ascii="Arial" w:hAnsi="Arial" w:cs="Arial"/>
          <w:b/>
          <w:sz w:val="18"/>
          <w:szCs w:val="22"/>
        </w:rPr>
        <w:t>Xu</w:t>
      </w:r>
      <w:proofErr w:type="spellEnd"/>
      <w:r w:rsidRPr="00CB6AD5">
        <w:rPr>
          <w:rFonts w:ascii="Arial" w:hAnsi="Arial" w:cs="Arial"/>
          <w:b/>
          <w:sz w:val="18"/>
          <w:szCs w:val="22"/>
        </w:rPr>
        <w:t>, M.</w:t>
      </w:r>
      <w:r w:rsidRPr="00CB6AD5">
        <w:rPr>
          <w:rFonts w:ascii="Arial" w:hAnsi="Arial" w:cs="Arial"/>
          <w:sz w:val="18"/>
          <w:szCs w:val="22"/>
        </w:rPr>
        <w:t xml:space="preserve"> (2017). </w:t>
      </w:r>
      <w:r w:rsidRPr="00681937">
        <w:rPr>
          <w:rFonts w:ascii="Arial" w:hAnsi="Arial" w:cs="Arial"/>
          <w:sz w:val="18"/>
          <w:szCs w:val="22"/>
          <w:lang w:val="en-US"/>
        </w:rPr>
        <w:t xml:space="preserve">Characterizing differences in the phosphorus activation coefficient of three typical cropland soils and the influencing factors under long-term fertilization. </w:t>
      </w:r>
      <w:proofErr w:type="spellStart"/>
      <w:r w:rsidRPr="00DF2046">
        <w:rPr>
          <w:rFonts w:ascii="Arial" w:hAnsi="Arial" w:cs="Arial"/>
          <w:sz w:val="18"/>
          <w:szCs w:val="22"/>
          <w:lang w:val="en-US"/>
        </w:rPr>
        <w:t>PloS</w:t>
      </w:r>
      <w:proofErr w:type="spellEnd"/>
      <w:r w:rsidRPr="00DF2046">
        <w:rPr>
          <w:rFonts w:ascii="Arial" w:hAnsi="Arial" w:cs="Arial"/>
          <w:sz w:val="18"/>
          <w:szCs w:val="22"/>
          <w:lang w:val="en-US"/>
        </w:rPr>
        <w:t xml:space="preserve"> one, 12(5), e0176437.</w:t>
      </w:r>
    </w:p>
    <w:p w:rsidR="00681937" w:rsidRPr="00F96DAB" w:rsidRDefault="00DF2046">
      <w:pPr>
        <w:jc w:val="both"/>
        <w:rPr>
          <w:rFonts w:ascii="Arial" w:hAnsi="Arial" w:cs="Arial"/>
          <w:sz w:val="18"/>
          <w:szCs w:val="22"/>
          <w:lang w:val="en-US"/>
        </w:rPr>
      </w:pPr>
      <w:r w:rsidRPr="00DF2046">
        <w:rPr>
          <w:rFonts w:ascii="Arial" w:hAnsi="Arial" w:cs="Arial"/>
          <w:b/>
          <w:sz w:val="18"/>
          <w:szCs w:val="22"/>
          <w:lang w:val="en-US"/>
        </w:rPr>
        <w:t xml:space="preserve">Zhang, J., </w:t>
      </w:r>
      <w:proofErr w:type="spellStart"/>
      <w:r w:rsidRPr="00DF2046">
        <w:rPr>
          <w:rFonts w:ascii="Arial" w:hAnsi="Arial" w:cs="Arial"/>
          <w:b/>
          <w:sz w:val="18"/>
          <w:szCs w:val="22"/>
          <w:lang w:val="en-US"/>
        </w:rPr>
        <w:t>Balkovič</w:t>
      </w:r>
      <w:proofErr w:type="spellEnd"/>
      <w:r w:rsidRPr="00DF2046">
        <w:rPr>
          <w:rFonts w:ascii="Arial" w:hAnsi="Arial" w:cs="Arial"/>
          <w:b/>
          <w:sz w:val="18"/>
          <w:szCs w:val="22"/>
          <w:lang w:val="en-US"/>
        </w:rPr>
        <w:t xml:space="preserve">, J., </w:t>
      </w:r>
      <w:proofErr w:type="spellStart"/>
      <w:r w:rsidRPr="00DF2046">
        <w:rPr>
          <w:rFonts w:ascii="Arial" w:hAnsi="Arial" w:cs="Arial"/>
          <w:b/>
          <w:sz w:val="18"/>
          <w:szCs w:val="22"/>
          <w:lang w:val="en-US"/>
        </w:rPr>
        <w:t>Azevedo</w:t>
      </w:r>
      <w:proofErr w:type="spellEnd"/>
      <w:r w:rsidRPr="00DF2046">
        <w:rPr>
          <w:rFonts w:ascii="Arial" w:hAnsi="Arial" w:cs="Arial"/>
          <w:b/>
          <w:sz w:val="18"/>
          <w:szCs w:val="22"/>
          <w:lang w:val="en-US"/>
        </w:rPr>
        <w:t xml:space="preserve">, L. B., </w:t>
      </w:r>
      <w:proofErr w:type="spellStart"/>
      <w:r w:rsidRPr="00DF2046">
        <w:rPr>
          <w:rFonts w:ascii="Arial" w:hAnsi="Arial" w:cs="Arial"/>
          <w:b/>
          <w:sz w:val="18"/>
          <w:szCs w:val="22"/>
          <w:lang w:val="en-US"/>
        </w:rPr>
        <w:t>Skalský</w:t>
      </w:r>
      <w:proofErr w:type="spellEnd"/>
      <w:r w:rsidRPr="00DF2046">
        <w:rPr>
          <w:rFonts w:ascii="Arial" w:hAnsi="Arial" w:cs="Arial"/>
          <w:b/>
          <w:sz w:val="18"/>
          <w:szCs w:val="22"/>
          <w:lang w:val="en-US"/>
        </w:rPr>
        <w:t xml:space="preserve">, R., </w:t>
      </w:r>
      <w:proofErr w:type="spellStart"/>
      <w:r w:rsidRPr="00DF2046">
        <w:rPr>
          <w:rFonts w:ascii="Arial" w:hAnsi="Arial" w:cs="Arial"/>
          <w:b/>
          <w:sz w:val="18"/>
          <w:szCs w:val="22"/>
          <w:lang w:val="en-US"/>
        </w:rPr>
        <w:t>Bouwman</w:t>
      </w:r>
      <w:proofErr w:type="spellEnd"/>
      <w:r w:rsidRPr="00DF2046">
        <w:rPr>
          <w:rFonts w:ascii="Arial" w:hAnsi="Arial" w:cs="Arial"/>
          <w:b/>
          <w:sz w:val="18"/>
          <w:szCs w:val="22"/>
          <w:lang w:val="en-US"/>
        </w:rPr>
        <w:t>, A. F., Xu, G</w:t>
      </w:r>
      <w:proofErr w:type="gramStart"/>
      <w:r w:rsidRPr="00DF2046">
        <w:rPr>
          <w:rFonts w:ascii="Arial" w:hAnsi="Arial" w:cs="Arial"/>
          <w:b/>
          <w:sz w:val="18"/>
          <w:szCs w:val="22"/>
          <w:lang w:val="en-US"/>
        </w:rPr>
        <w:t>., ...</w:t>
      </w:r>
      <w:proofErr w:type="gramEnd"/>
      <w:r w:rsidRPr="00DF2046">
        <w:rPr>
          <w:rFonts w:ascii="Arial" w:hAnsi="Arial" w:cs="Arial"/>
          <w:b/>
          <w:sz w:val="18"/>
          <w:szCs w:val="22"/>
          <w:lang w:val="en-US"/>
        </w:rPr>
        <w:t xml:space="preserve"> &amp; Yu, C</w:t>
      </w:r>
      <w:r w:rsidRPr="00DF2046">
        <w:rPr>
          <w:rFonts w:ascii="Arial" w:hAnsi="Arial" w:cs="Arial"/>
          <w:sz w:val="18"/>
          <w:szCs w:val="22"/>
          <w:lang w:val="en-US"/>
        </w:rPr>
        <w:t>. (2018). Analyzing and modelling the effect of long-term fertilizer management on crop yield and soil organic carbon in China. Science of the Total Environment, 627, 361-372.</w:t>
      </w:r>
    </w:p>
    <w:sectPr w:rsidR="00681937" w:rsidRPr="00F96DAB" w:rsidSect="00CD1F91">
      <w:pgSz w:w="11906" w:h="16838"/>
      <w:pgMar w:top="1417" w:right="991" w:bottom="1417" w:left="9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4E58DC"/>
    <w:multiLevelType w:val="hybridMultilevel"/>
    <w:tmpl w:val="D23E2A54"/>
    <w:lvl w:ilvl="0" w:tplc="B7EA359A">
      <w:start w:val="2"/>
      <w:numFmt w:val="upp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
    <w:nsid w:val="60F13DFB"/>
    <w:multiLevelType w:val="hybridMultilevel"/>
    <w:tmpl w:val="5B2ABAFC"/>
    <w:lvl w:ilvl="0" w:tplc="0C0A0015">
      <w:start w:val="1"/>
      <w:numFmt w:val="upp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AR" w:vendorID="64" w:dllVersion="131078" w:nlCheck="1" w:checkStyle="1"/>
  <w:activeWritingStyle w:appName="MSWord" w:lang="en-US" w:vendorID="64" w:dllVersion="131078" w:nlCheck="1" w:checkStyle="1"/>
  <w:activeWritingStyle w:appName="MSWord" w:lang="es-ES_tradnl"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E98"/>
    <w:rsid w:val="00001E98"/>
    <w:rsid w:val="00005B9C"/>
    <w:rsid w:val="00005C16"/>
    <w:rsid w:val="0000734B"/>
    <w:rsid w:val="00016AAE"/>
    <w:rsid w:val="00024FE3"/>
    <w:rsid w:val="0004484E"/>
    <w:rsid w:val="00047B0F"/>
    <w:rsid w:val="00051665"/>
    <w:rsid w:val="00066324"/>
    <w:rsid w:val="00070B34"/>
    <w:rsid w:val="00076CDF"/>
    <w:rsid w:val="00077F78"/>
    <w:rsid w:val="00082868"/>
    <w:rsid w:val="0008287D"/>
    <w:rsid w:val="0008754C"/>
    <w:rsid w:val="000962B0"/>
    <w:rsid w:val="000A0026"/>
    <w:rsid w:val="000A3F0A"/>
    <w:rsid w:val="000A5612"/>
    <w:rsid w:val="000A7A21"/>
    <w:rsid w:val="000B3E1B"/>
    <w:rsid w:val="000C0CD5"/>
    <w:rsid w:val="000C4D4A"/>
    <w:rsid w:val="000C4FA7"/>
    <w:rsid w:val="000D1FF7"/>
    <w:rsid w:val="000D3250"/>
    <w:rsid w:val="000D77A6"/>
    <w:rsid w:val="000E08C7"/>
    <w:rsid w:val="000E1462"/>
    <w:rsid w:val="000E30C5"/>
    <w:rsid w:val="000E5FB6"/>
    <w:rsid w:val="00103E8F"/>
    <w:rsid w:val="001133D7"/>
    <w:rsid w:val="00116816"/>
    <w:rsid w:val="00116C71"/>
    <w:rsid w:val="001232D5"/>
    <w:rsid w:val="00127CA7"/>
    <w:rsid w:val="00130C46"/>
    <w:rsid w:val="001359D6"/>
    <w:rsid w:val="00140A1C"/>
    <w:rsid w:val="00144CBF"/>
    <w:rsid w:val="00145565"/>
    <w:rsid w:val="001465DE"/>
    <w:rsid w:val="0015793F"/>
    <w:rsid w:val="0016282E"/>
    <w:rsid w:val="0016451E"/>
    <w:rsid w:val="00172923"/>
    <w:rsid w:val="001764F5"/>
    <w:rsid w:val="00185406"/>
    <w:rsid w:val="001900A9"/>
    <w:rsid w:val="001938FE"/>
    <w:rsid w:val="001A43D6"/>
    <w:rsid w:val="001A68F6"/>
    <w:rsid w:val="001A6D85"/>
    <w:rsid w:val="001A7033"/>
    <w:rsid w:val="001B2AD8"/>
    <w:rsid w:val="001C0E0A"/>
    <w:rsid w:val="001C4521"/>
    <w:rsid w:val="001C6081"/>
    <w:rsid w:val="001D0880"/>
    <w:rsid w:val="00201B51"/>
    <w:rsid w:val="00217B73"/>
    <w:rsid w:val="00217EA7"/>
    <w:rsid w:val="002207DE"/>
    <w:rsid w:val="0022296B"/>
    <w:rsid w:val="002251B9"/>
    <w:rsid w:val="0022642B"/>
    <w:rsid w:val="002444EB"/>
    <w:rsid w:val="00245105"/>
    <w:rsid w:val="00245F81"/>
    <w:rsid w:val="00245FEC"/>
    <w:rsid w:val="00262099"/>
    <w:rsid w:val="0026556A"/>
    <w:rsid w:val="002662DC"/>
    <w:rsid w:val="002666C0"/>
    <w:rsid w:val="002761BC"/>
    <w:rsid w:val="00281BCA"/>
    <w:rsid w:val="002824E4"/>
    <w:rsid w:val="002924F6"/>
    <w:rsid w:val="002942B3"/>
    <w:rsid w:val="002949DA"/>
    <w:rsid w:val="002A00B2"/>
    <w:rsid w:val="002A3E26"/>
    <w:rsid w:val="002D2B27"/>
    <w:rsid w:val="002E7454"/>
    <w:rsid w:val="00300B02"/>
    <w:rsid w:val="0031374B"/>
    <w:rsid w:val="00315E20"/>
    <w:rsid w:val="00330AB3"/>
    <w:rsid w:val="0033534A"/>
    <w:rsid w:val="00360CB7"/>
    <w:rsid w:val="00361765"/>
    <w:rsid w:val="00370080"/>
    <w:rsid w:val="003832E7"/>
    <w:rsid w:val="00386DA2"/>
    <w:rsid w:val="003875D7"/>
    <w:rsid w:val="00390708"/>
    <w:rsid w:val="003A2AF0"/>
    <w:rsid w:val="003A3DE0"/>
    <w:rsid w:val="003A50EA"/>
    <w:rsid w:val="003B38EF"/>
    <w:rsid w:val="003B7D0E"/>
    <w:rsid w:val="003C5501"/>
    <w:rsid w:val="003D1202"/>
    <w:rsid w:val="003D4086"/>
    <w:rsid w:val="003D7E93"/>
    <w:rsid w:val="003E0F23"/>
    <w:rsid w:val="003E3576"/>
    <w:rsid w:val="003E473F"/>
    <w:rsid w:val="003E6DD8"/>
    <w:rsid w:val="003F1A41"/>
    <w:rsid w:val="003F5E7A"/>
    <w:rsid w:val="00400330"/>
    <w:rsid w:val="00401D01"/>
    <w:rsid w:val="00404B12"/>
    <w:rsid w:val="00417650"/>
    <w:rsid w:val="00424FD9"/>
    <w:rsid w:val="004258D3"/>
    <w:rsid w:val="004266D3"/>
    <w:rsid w:val="00434803"/>
    <w:rsid w:val="00435CB4"/>
    <w:rsid w:val="00440D37"/>
    <w:rsid w:val="0044128A"/>
    <w:rsid w:val="0044490D"/>
    <w:rsid w:val="0044774E"/>
    <w:rsid w:val="00447955"/>
    <w:rsid w:val="0045173B"/>
    <w:rsid w:val="00470CB2"/>
    <w:rsid w:val="00473051"/>
    <w:rsid w:val="00495672"/>
    <w:rsid w:val="00497EFD"/>
    <w:rsid w:val="004A5E77"/>
    <w:rsid w:val="004B016A"/>
    <w:rsid w:val="004B2566"/>
    <w:rsid w:val="004C3405"/>
    <w:rsid w:val="004D08AB"/>
    <w:rsid w:val="004D08B5"/>
    <w:rsid w:val="004D15F0"/>
    <w:rsid w:val="004E2250"/>
    <w:rsid w:val="004E5799"/>
    <w:rsid w:val="004F223A"/>
    <w:rsid w:val="004F5FE9"/>
    <w:rsid w:val="004F67A1"/>
    <w:rsid w:val="0050283F"/>
    <w:rsid w:val="00521493"/>
    <w:rsid w:val="0052422C"/>
    <w:rsid w:val="00527CF5"/>
    <w:rsid w:val="00530736"/>
    <w:rsid w:val="005352DF"/>
    <w:rsid w:val="005439C1"/>
    <w:rsid w:val="00546D1D"/>
    <w:rsid w:val="005510C6"/>
    <w:rsid w:val="00556631"/>
    <w:rsid w:val="005576C5"/>
    <w:rsid w:val="00561B54"/>
    <w:rsid w:val="00577ABA"/>
    <w:rsid w:val="0059271B"/>
    <w:rsid w:val="005958C0"/>
    <w:rsid w:val="005A0A9E"/>
    <w:rsid w:val="005B7315"/>
    <w:rsid w:val="005C5B4B"/>
    <w:rsid w:val="005C5C10"/>
    <w:rsid w:val="005D1A6D"/>
    <w:rsid w:val="005D5D43"/>
    <w:rsid w:val="005E1DE2"/>
    <w:rsid w:val="005E2382"/>
    <w:rsid w:val="005E74DA"/>
    <w:rsid w:val="005E7EAA"/>
    <w:rsid w:val="005F3553"/>
    <w:rsid w:val="005F75A0"/>
    <w:rsid w:val="00604EB7"/>
    <w:rsid w:val="0060594D"/>
    <w:rsid w:val="006213B8"/>
    <w:rsid w:val="00622D58"/>
    <w:rsid w:val="00626A27"/>
    <w:rsid w:val="0063431A"/>
    <w:rsid w:val="00636B62"/>
    <w:rsid w:val="00644275"/>
    <w:rsid w:val="00667FF0"/>
    <w:rsid w:val="00672894"/>
    <w:rsid w:val="00677540"/>
    <w:rsid w:val="00681937"/>
    <w:rsid w:val="006A62AA"/>
    <w:rsid w:val="006A65F4"/>
    <w:rsid w:val="006A7544"/>
    <w:rsid w:val="006B1B1A"/>
    <w:rsid w:val="006B4FDC"/>
    <w:rsid w:val="006C2209"/>
    <w:rsid w:val="006D240F"/>
    <w:rsid w:val="006D6D5B"/>
    <w:rsid w:val="007032F4"/>
    <w:rsid w:val="007256B8"/>
    <w:rsid w:val="00725716"/>
    <w:rsid w:val="0073437D"/>
    <w:rsid w:val="007348AB"/>
    <w:rsid w:val="007468B0"/>
    <w:rsid w:val="0075072C"/>
    <w:rsid w:val="00751169"/>
    <w:rsid w:val="0075135B"/>
    <w:rsid w:val="00754E36"/>
    <w:rsid w:val="007557FC"/>
    <w:rsid w:val="00756497"/>
    <w:rsid w:val="0076266D"/>
    <w:rsid w:val="0076440A"/>
    <w:rsid w:val="00777A12"/>
    <w:rsid w:val="007841F1"/>
    <w:rsid w:val="00786101"/>
    <w:rsid w:val="00787136"/>
    <w:rsid w:val="007909F2"/>
    <w:rsid w:val="00796FC7"/>
    <w:rsid w:val="00797CC0"/>
    <w:rsid w:val="007B5E94"/>
    <w:rsid w:val="007C641D"/>
    <w:rsid w:val="007D5783"/>
    <w:rsid w:val="007E0882"/>
    <w:rsid w:val="007E577D"/>
    <w:rsid w:val="007F306E"/>
    <w:rsid w:val="007F717C"/>
    <w:rsid w:val="0080596C"/>
    <w:rsid w:val="008072A4"/>
    <w:rsid w:val="008078CA"/>
    <w:rsid w:val="0081131F"/>
    <w:rsid w:val="00813642"/>
    <w:rsid w:val="00816069"/>
    <w:rsid w:val="00826EBC"/>
    <w:rsid w:val="00834872"/>
    <w:rsid w:val="008353B5"/>
    <w:rsid w:val="0083636C"/>
    <w:rsid w:val="00836E34"/>
    <w:rsid w:val="00840261"/>
    <w:rsid w:val="008527A1"/>
    <w:rsid w:val="00855E7A"/>
    <w:rsid w:val="00864453"/>
    <w:rsid w:val="008714D1"/>
    <w:rsid w:val="00873F31"/>
    <w:rsid w:val="00875C0B"/>
    <w:rsid w:val="00877871"/>
    <w:rsid w:val="00877F94"/>
    <w:rsid w:val="00883D36"/>
    <w:rsid w:val="008871C3"/>
    <w:rsid w:val="0088726B"/>
    <w:rsid w:val="008872D0"/>
    <w:rsid w:val="00897C27"/>
    <w:rsid w:val="008A0F1C"/>
    <w:rsid w:val="008A6E55"/>
    <w:rsid w:val="008B6FC8"/>
    <w:rsid w:val="008C4303"/>
    <w:rsid w:val="008C454A"/>
    <w:rsid w:val="008C5A26"/>
    <w:rsid w:val="008C67C1"/>
    <w:rsid w:val="008D1593"/>
    <w:rsid w:val="008D2D80"/>
    <w:rsid w:val="008D4FA4"/>
    <w:rsid w:val="008D6DDD"/>
    <w:rsid w:val="008F1BEB"/>
    <w:rsid w:val="008F6142"/>
    <w:rsid w:val="00910A74"/>
    <w:rsid w:val="00912337"/>
    <w:rsid w:val="009133EE"/>
    <w:rsid w:val="00916BC7"/>
    <w:rsid w:val="00921DE6"/>
    <w:rsid w:val="00922C6D"/>
    <w:rsid w:val="00923C2F"/>
    <w:rsid w:val="00930F5B"/>
    <w:rsid w:val="009365A1"/>
    <w:rsid w:val="00937BD3"/>
    <w:rsid w:val="00940345"/>
    <w:rsid w:val="009455AF"/>
    <w:rsid w:val="00956635"/>
    <w:rsid w:val="00960411"/>
    <w:rsid w:val="00967712"/>
    <w:rsid w:val="00970230"/>
    <w:rsid w:val="0099044F"/>
    <w:rsid w:val="00993035"/>
    <w:rsid w:val="00994AAC"/>
    <w:rsid w:val="009A09C3"/>
    <w:rsid w:val="009B372C"/>
    <w:rsid w:val="009B3744"/>
    <w:rsid w:val="009D05B4"/>
    <w:rsid w:val="009D3AC5"/>
    <w:rsid w:val="009D451E"/>
    <w:rsid w:val="009D5C79"/>
    <w:rsid w:val="009E2983"/>
    <w:rsid w:val="009F1DEB"/>
    <w:rsid w:val="009F41DB"/>
    <w:rsid w:val="00A00B47"/>
    <w:rsid w:val="00A01D0F"/>
    <w:rsid w:val="00A06577"/>
    <w:rsid w:val="00A105BC"/>
    <w:rsid w:val="00A11DE8"/>
    <w:rsid w:val="00A12F0C"/>
    <w:rsid w:val="00A13EE1"/>
    <w:rsid w:val="00A15C4B"/>
    <w:rsid w:val="00A22F4D"/>
    <w:rsid w:val="00A24F8E"/>
    <w:rsid w:val="00A317AE"/>
    <w:rsid w:val="00A332E2"/>
    <w:rsid w:val="00A51E40"/>
    <w:rsid w:val="00A7601C"/>
    <w:rsid w:val="00A96627"/>
    <w:rsid w:val="00A97133"/>
    <w:rsid w:val="00AA3860"/>
    <w:rsid w:val="00AC2366"/>
    <w:rsid w:val="00AC43FC"/>
    <w:rsid w:val="00AC5C68"/>
    <w:rsid w:val="00AD06E0"/>
    <w:rsid w:val="00AD749E"/>
    <w:rsid w:val="00AF23A6"/>
    <w:rsid w:val="00B00024"/>
    <w:rsid w:val="00B05D7D"/>
    <w:rsid w:val="00B06B2A"/>
    <w:rsid w:val="00B1447D"/>
    <w:rsid w:val="00B165C0"/>
    <w:rsid w:val="00B26720"/>
    <w:rsid w:val="00B34079"/>
    <w:rsid w:val="00B37F7F"/>
    <w:rsid w:val="00B51110"/>
    <w:rsid w:val="00B60941"/>
    <w:rsid w:val="00B617D3"/>
    <w:rsid w:val="00B72986"/>
    <w:rsid w:val="00B73E16"/>
    <w:rsid w:val="00B83646"/>
    <w:rsid w:val="00B84F5F"/>
    <w:rsid w:val="00B87609"/>
    <w:rsid w:val="00B93460"/>
    <w:rsid w:val="00B93C7F"/>
    <w:rsid w:val="00BA5AB1"/>
    <w:rsid w:val="00BB2B5C"/>
    <w:rsid w:val="00BB5213"/>
    <w:rsid w:val="00BB7FBD"/>
    <w:rsid w:val="00BC0FC6"/>
    <w:rsid w:val="00BC4992"/>
    <w:rsid w:val="00BC7047"/>
    <w:rsid w:val="00BD0684"/>
    <w:rsid w:val="00BD65E9"/>
    <w:rsid w:val="00BE056B"/>
    <w:rsid w:val="00BE4D93"/>
    <w:rsid w:val="00BF3BA1"/>
    <w:rsid w:val="00BF4EC9"/>
    <w:rsid w:val="00C0234C"/>
    <w:rsid w:val="00C05971"/>
    <w:rsid w:val="00C2794A"/>
    <w:rsid w:val="00C31632"/>
    <w:rsid w:val="00C364E6"/>
    <w:rsid w:val="00C41E46"/>
    <w:rsid w:val="00C4605A"/>
    <w:rsid w:val="00C50BD7"/>
    <w:rsid w:val="00C51632"/>
    <w:rsid w:val="00C61944"/>
    <w:rsid w:val="00C63769"/>
    <w:rsid w:val="00C64751"/>
    <w:rsid w:val="00C7440A"/>
    <w:rsid w:val="00C80680"/>
    <w:rsid w:val="00C80E4A"/>
    <w:rsid w:val="00C91C65"/>
    <w:rsid w:val="00C9393C"/>
    <w:rsid w:val="00C953E1"/>
    <w:rsid w:val="00CA0601"/>
    <w:rsid w:val="00CA0E56"/>
    <w:rsid w:val="00CA2CC4"/>
    <w:rsid w:val="00CB4C79"/>
    <w:rsid w:val="00CB6AD5"/>
    <w:rsid w:val="00CD1F91"/>
    <w:rsid w:val="00CE0C9D"/>
    <w:rsid w:val="00CE3F50"/>
    <w:rsid w:val="00CE5C8C"/>
    <w:rsid w:val="00CE6249"/>
    <w:rsid w:val="00CF1598"/>
    <w:rsid w:val="00D0254E"/>
    <w:rsid w:val="00D02B2F"/>
    <w:rsid w:val="00D02CDC"/>
    <w:rsid w:val="00D16C7D"/>
    <w:rsid w:val="00D24DC9"/>
    <w:rsid w:val="00D25073"/>
    <w:rsid w:val="00D30985"/>
    <w:rsid w:val="00D34200"/>
    <w:rsid w:val="00D35102"/>
    <w:rsid w:val="00D4467C"/>
    <w:rsid w:val="00D546BA"/>
    <w:rsid w:val="00D548FC"/>
    <w:rsid w:val="00D5638D"/>
    <w:rsid w:val="00D72464"/>
    <w:rsid w:val="00D76976"/>
    <w:rsid w:val="00D76BAE"/>
    <w:rsid w:val="00D76D20"/>
    <w:rsid w:val="00D82010"/>
    <w:rsid w:val="00D83529"/>
    <w:rsid w:val="00D87C39"/>
    <w:rsid w:val="00D904DD"/>
    <w:rsid w:val="00D9141F"/>
    <w:rsid w:val="00D979D0"/>
    <w:rsid w:val="00DA4DC1"/>
    <w:rsid w:val="00DA6FE0"/>
    <w:rsid w:val="00DB017B"/>
    <w:rsid w:val="00DD26C5"/>
    <w:rsid w:val="00DD42FF"/>
    <w:rsid w:val="00DD5B3C"/>
    <w:rsid w:val="00DD679E"/>
    <w:rsid w:val="00DD7E5A"/>
    <w:rsid w:val="00DE2276"/>
    <w:rsid w:val="00DE3AC9"/>
    <w:rsid w:val="00DE584B"/>
    <w:rsid w:val="00DF1D49"/>
    <w:rsid w:val="00DF2046"/>
    <w:rsid w:val="00DF32B9"/>
    <w:rsid w:val="00E04F24"/>
    <w:rsid w:val="00E05640"/>
    <w:rsid w:val="00E26698"/>
    <w:rsid w:val="00E35DAB"/>
    <w:rsid w:val="00E516B0"/>
    <w:rsid w:val="00E51D58"/>
    <w:rsid w:val="00E547B1"/>
    <w:rsid w:val="00E56554"/>
    <w:rsid w:val="00E56FC0"/>
    <w:rsid w:val="00E606E6"/>
    <w:rsid w:val="00E6615E"/>
    <w:rsid w:val="00E66FF3"/>
    <w:rsid w:val="00E7456F"/>
    <w:rsid w:val="00E8511F"/>
    <w:rsid w:val="00EA0BE0"/>
    <w:rsid w:val="00EA1068"/>
    <w:rsid w:val="00EA41AB"/>
    <w:rsid w:val="00EA6E3E"/>
    <w:rsid w:val="00EB1B97"/>
    <w:rsid w:val="00EB452F"/>
    <w:rsid w:val="00EB6F55"/>
    <w:rsid w:val="00EB7A2F"/>
    <w:rsid w:val="00ED4804"/>
    <w:rsid w:val="00ED7538"/>
    <w:rsid w:val="00EE3758"/>
    <w:rsid w:val="00EE391E"/>
    <w:rsid w:val="00EF00A3"/>
    <w:rsid w:val="00EF33FF"/>
    <w:rsid w:val="00EF3E2E"/>
    <w:rsid w:val="00F003D5"/>
    <w:rsid w:val="00F03C34"/>
    <w:rsid w:val="00F1162D"/>
    <w:rsid w:val="00F165E2"/>
    <w:rsid w:val="00F31C35"/>
    <w:rsid w:val="00F326BE"/>
    <w:rsid w:val="00F34444"/>
    <w:rsid w:val="00F34D9A"/>
    <w:rsid w:val="00F36C7B"/>
    <w:rsid w:val="00F419BB"/>
    <w:rsid w:val="00F4664E"/>
    <w:rsid w:val="00F47B83"/>
    <w:rsid w:val="00F60433"/>
    <w:rsid w:val="00F65A1C"/>
    <w:rsid w:val="00F67DBE"/>
    <w:rsid w:val="00F73CFC"/>
    <w:rsid w:val="00F84388"/>
    <w:rsid w:val="00F909C0"/>
    <w:rsid w:val="00F93607"/>
    <w:rsid w:val="00F9573E"/>
    <w:rsid w:val="00F96BE0"/>
    <w:rsid w:val="00F96DAB"/>
    <w:rsid w:val="00FA0616"/>
    <w:rsid w:val="00FB0545"/>
    <w:rsid w:val="00FB094B"/>
    <w:rsid w:val="00FB2F79"/>
    <w:rsid w:val="00FB6AFB"/>
    <w:rsid w:val="00FB70CC"/>
    <w:rsid w:val="00FB722B"/>
    <w:rsid w:val="00FD6528"/>
    <w:rsid w:val="00FD706A"/>
    <w:rsid w:val="00FD7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9579C49-B950-4933-AA78-61FBD029C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68B0"/>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web3">
    <w:name w:val="Table Web 3"/>
    <w:basedOn w:val="Tablanormal"/>
    <w:rsid w:val="009A09C3"/>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bsica2">
    <w:name w:val="Table Simple 2"/>
    <w:basedOn w:val="Tablanormal"/>
    <w:rsid w:val="009A09C3"/>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aconcuadrcula">
    <w:name w:val="Table Grid"/>
    <w:basedOn w:val="Tablanormal"/>
    <w:rsid w:val="00D546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rsid w:val="0015793F"/>
    <w:rPr>
      <w:color w:val="0000FF"/>
      <w:u w:val="single"/>
    </w:rPr>
  </w:style>
  <w:style w:type="paragraph" w:styleId="Textodeglobo">
    <w:name w:val="Balloon Text"/>
    <w:basedOn w:val="Normal"/>
    <w:link w:val="TextodegloboCar"/>
    <w:rsid w:val="008353B5"/>
    <w:rPr>
      <w:rFonts w:ascii="Tahoma" w:hAnsi="Tahoma" w:cs="Tahoma"/>
      <w:sz w:val="16"/>
      <w:szCs w:val="16"/>
    </w:rPr>
  </w:style>
  <w:style w:type="character" w:customStyle="1" w:styleId="TextodegloboCar">
    <w:name w:val="Texto de globo Car"/>
    <w:basedOn w:val="Fuentedeprrafopredeter"/>
    <w:link w:val="Textodeglobo"/>
    <w:rsid w:val="008353B5"/>
    <w:rPr>
      <w:rFonts w:ascii="Tahoma" w:hAnsi="Tahoma" w:cs="Tahoma"/>
      <w:sz w:val="16"/>
      <w:szCs w:val="16"/>
      <w:lang w:val="es-ES" w:eastAsia="es-ES"/>
    </w:rPr>
  </w:style>
  <w:style w:type="paragraph" w:styleId="NormalWeb">
    <w:name w:val="Normal (Web)"/>
    <w:basedOn w:val="Normal"/>
    <w:uiPriority w:val="99"/>
    <w:unhideWhenUsed/>
    <w:rsid w:val="00066324"/>
    <w:pPr>
      <w:spacing w:before="100" w:beforeAutospacing="1" w:after="100" w:afterAutospacing="1"/>
    </w:pPr>
    <w:rPr>
      <w:rFonts w:eastAsiaTheme="minorEastAsia"/>
      <w:lang w:val="es-AR" w:eastAsia="es-AR"/>
    </w:rPr>
  </w:style>
  <w:style w:type="character" w:styleId="Refdecomentario">
    <w:name w:val="annotation reference"/>
    <w:basedOn w:val="Fuentedeprrafopredeter"/>
    <w:rsid w:val="008F1BEB"/>
    <w:rPr>
      <w:sz w:val="16"/>
      <w:szCs w:val="16"/>
    </w:rPr>
  </w:style>
  <w:style w:type="paragraph" w:styleId="Textocomentario">
    <w:name w:val="annotation text"/>
    <w:basedOn w:val="Normal"/>
    <w:link w:val="TextocomentarioCar"/>
    <w:rsid w:val="008F1BEB"/>
    <w:rPr>
      <w:sz w:val="20"/>
      <w:szCs w:val="20"/>
    </w:rPr>
  </w:style>
  <w:style w:type="character" w:customStyle="1" w:styleId="TextocomentarioCar">
    <w:name w:val="Texto comentario Car"/>
    <w:basedOn w:val="Fuentedeprrafopredeter"/>
    <w:link w:val="Textocomentario"/>
    <w:rsid w:val="008F1BEB"/>
    <w:rPr>
      <w:lang w:val="es-ES" w:eastAsia="es-ES"/>
    </w:rPr>
  </w:style>
  <w:style w:type="paragraph" w:styleId="Asuntodelcomentario">
    <w:name w:val="annotation subject"/>
    <w:basedOn w:val="Textocomentario"/>
    <w:next w:val="Textocomentario"/>
    <w:link w:val="AsuntodelcomentarioCar"/>
    <w:rsid w:val="008F1BEB"/>
    <w:rPr>
      <w:b/>
      <w:bCs/>
    </w:rPr>
  </w:style>
  <w:style w:type="character" w:customStyle="1" w:styleId="AsuntodelcomentarioCar">
    <w:name w:val="Asunto del comentario Car"/>
    <w:basedOn w:val="TextocomentarioCar"/>
    <w:link w:val="Asuntodelcomentario"/>
    <w:rsid w:val="008F1BEB"/>
    <w:rPr>
      <w:b/>
      <w:bCs/>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52859">
      <w:bodyDiv w:val="1"/>
      <w:marLeft w:val="0"/>
      <w:marRight w:val="0"/>
      <w:marTop w:val="0"/>
      <w:marBottom w:val="0"/>
      <w:divBdr>
        <w:top w:val="none" w:sz="0" w:space="0" w:color="auto"/>
        <w:left w:val="none" w:sz="0" w:space="0" w:color="auto"/>
        <w:bottom w:val="none" w:sz="0" w:space="0" w:color="auto"/>
        <w:right w:val="none" w:sz="0" w:space="0" w:color="auto"/>
      </w:divBdr>
      <w:divsChild>
        <w:div w:id="1890412778">
          <w:marLeft w:val="0"/>
          <w:marRight w:val="0"/>
          <w:marTop w:val="0"/>
          <w:marBottom w:val="0"/>
          <w:divBdr>
            <w:top w:val="none" w:sz="0" w:space="0" w:color="auto"/>
            <w:left w:val="none" w:sz="0" w:space="0" w:color="auto"/>
            <w:bottom w:val="none" w:sz="0" w:space="0" w:color="auto"/>
            <w:right w:val="none" w:sz="0" w:space="0" w:color="auto"/>
          </w:divBdr>
          <w:divsChild>
            <w:div w:id="257907758">
              <w:marLeft w:val="0"/>
              <w:marRight w:val="0"/>
              <w:marTop w:val="0"/>
              <w:marBottom w:val="0"/>
              <w:divBdr>
                <w:top w:val="none" w:sz="0" w:space="0" w:color="auto"/>
                <w:left w:val="none" w:sz="0" w:space="0" w:color="auto"/>
                <w:bottom w:val="none" w:sz="0" w:space="0" w:color="auto"/>
                <w:right w:val="none" w:sz="0" w:space="0" w:color="auto"/>
              </w:divBdr>
              <w:divsChild>
                <w:div w:id="2113472146">
                  <w:marLeft w:val="0"/>
                  <w:marRight w:val="0"/>
                  <w:marTop w:val="0"/>
                  <w:marBottom w:val="0"/>
                  <w:divBdr>
                    <w:top w:val="none" w:sz="0" w:space="0" w:color="auto"/>
                    <w:left w:val="none" w:sz="0" w:space="0" w:color="auto"/>
                    <w:bottom w:val="none" w:sz="0" w:space="0" w:color="auto"/>
                    <w:right w:val="none" w:sz="0" w:space="0" w:color="auto"/>
                  </w:divBdr>
                  <w:divsChild>
                    <w:div w:id="96757570">
                      <w:marLeft w:val="0"/>
                      <w:marRight w:val="0"/>
                      <w:marTop w:val="0"/>
                      <w:marBottom w:val="0"/>
                      <w:divBdr>
                        <w:top w:val="none" w:sz="0" w:space="0" w:color="auto"/>
                        <w:left w:val="none" w:sz="0" w:space="0" w:color="auto"/>
                        <w:bottom w:val="none" w:sz="0" w:space="0" w:color="auto"/>
                        <w:right w:val="none" w:sz="0" w:space="0" w:color="auto"/>
                      </w:divBdr>
                      <w:divsChild>
                        <w:div w:id="1124808501">
                          <w:marLeft w:val="0"/>
                          <w:marRight w:val="0"/>
                          <w:marTop w:val="0"/>
                          <w:marBottom w:val="0"/>
                          <w:divBdr>
                            <w:top w:val="none" w:sz="0" w:space="0" w:color="auto"/>
                            <w:left w:val="none" w:sz="0" w:space="0" w:color="auto"/>
                            <w:bottom w:val="none" w:sz="0" w:space="0" w:color="auto"/>
                            <w:right w:val="none" w:sz="0" w:space="0" w:color="auto"/>
                          </w:divBdr>
                          <w:divsChild>
                            <w:div w:id="42226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122609">
      <w:bodyDiv w:val="1"/>
      <w:marLeft w:val="0"/>
      <w:marRight w:val="0"/>
      <w:marTop w:val="0"/>
      <w:marBottom w:val="0"/>
      <w:divBdr>
        <w:top w:val="none" w:sz="0" w:space="0" w:color="auto"/>
        <w:left w:val="none" w:sz="0" w:space="0" w:color="auto"/>
        <w:bottom w:val="none" w:sz="0" w:space="0" w:color="auto"/>
        <w:right w:val="none" w:sz="0" w:space="0" w:color="auto"/>
      </w:divBdr>
    </w:div>
    <w:div w:id="104034729">
      <w:bodyDiv w:val="1"/>
      <w:marLeft w:val="0"/>
      <w:marRight w:val="0"/>
      <w:marTop w:val="0"/>
      <w:marBottom w:val="0"/>
      <w:divBdr>
        <w:top w:val="none" w:sz="0" w:space="0" w:color="auto"/>
        <w:left w:val="none" w:sz="0" w:space="0" w:color="auto"/>
        <w:bottom w:val="none" w:sz="0" w:space="0" w:color="auto"/>
        <w:right w:val="none" w:sz="0" w:space="0" w:color="auto"/>
      </w:divBdr>
    </w:div>
    <w:div w:id="130950219">
      <w:bodyDiv w:val="1"/>
      <w:marLeft w:val="0"/>
      <w:marRight w:val="0"/>
      <w:marTop w:val="0"/>
      <w:marBottom w:val="0"/>
      <w:divBdr>
        <w:top w:val="none" w:sz="0" w:space="0" w:color="auto"/>
        <w:left w:val="none" w:sz="0" w:space="0" w:color="auto"/>
        <w:bottom w:val="none" w:sz="0" w:space="0" w:color="auto"/>
        <w:right w:val="none" w:sz="0" w:space="0" w:color="auto"/>
      </w:divBdr>
    </w:div>
    <w:div w:id="169953290">
      <w:bodyDiv w:val="1"/>
      <w:marLeft w:val="0"/>
      <w:marRight w:val="0"/>
      <w:marTop w:val="0"/>
      <w:marBottom w:val="0"/>
      <w:divBdr>
        <w:top w:val="none" w:sz="0" w:space="0" w:color="auto"/>
        <w:left w:val="none" w:sz="0" w:space="0" w:color="auto"/>
        <w:bottom w:val="none" w:sz="0" w:space="0" w:color="auto"/>
        <w:right w:val="none" w:sz="0" w:space="0" w:color="auto"/>
      </w:divBdr>
    </w:div>
    <w:div w:id="229002405">
      <w:bodyDiv w:val="1"/>
      <w:marLeft w:val="0"/>
      <w:marRight w:val="0"/>
      <w:marTop w:val="0"/>
      <w:marBottom w:val="0"/>
      <w:divBdr>
        <w:top w:val="none" w:sz="0" w:space="0" w:color="auto"/>
        <w:left w:val="none" w:sz="0" w:space="0" w:color="auto"/>
        <w:bottom w:val="none" w:sz="0" w:space="0" w:color="auto"/>
        <w:right w:val="none" w:sz="0" w:space="0" w:color="auto"/>
      </w:divBdr>
      <w:divsChild>
        <w:div w:id="648367823">
          <w:marLeft w:val="0"/>
          <w:marRight w:val="0"/>
          <w:marTop w:val="0"/>
          <w:marBottom w:val="0"/>
          <w:divBdr>
            <w:top w:val="none" w:sz="0" w:space="0" w:color="auto"/>
            <w:left w:val="none" w:sz="0" w:space="0" w:color="auto"/>
            <w:bottom w:val="none" w:sz="0" w:space="0" w:color="auto"/>
            <w:right w:val="none" w:sz="0" w:space="0" w:color="auto"/>
          </w:divBdr>
          <w:divsChild>
            <w:div w:id="259991486">
              <w:marLeft w:val="0"/>
              <w:marRight w:val="0"/>
              <w:marTop w:val="0"/>
              <w:marBottom w:val="0"/>
              <w:divBdr>
                <w:top w:val="none" w:sz="0" w:space="0" w:color="auto"/>
                <w:left w:val="none" w:sz="0" w:space="0" w:color="auto"/>
                <w:bottom w:val="none" w:sz="0" w:space="0" w:color="auto"/>
                <w:right w:val="none" w:sz="0" w:space="0" w:color="auto"/>
              </w:divBdr>
              <w:divsChild>
                <w:div w:id="1170407431">
                  <w:marLeft w:val="0"/>
                  <w:marRight w:val="0"/>
                  <w:marTop w:val="0"/>
                  <w:marBottom w:val="0"/>
                  <w:divBdr>
                    <w:top w:val="none" w:sz="0" w:space="0" w:color="auto"/>
                    <w:left w:val="none" w:sz="0" w:space="0" w:color="auto"/>
                    <w:bottom w:val="none" w:sz="0" w:space="0" w:color="auto"/>
                    <w:right w:val="none" w:sz="0" w:space="0" w:color="auto"/>
                  </w:divBdr>
                  <w:divsChild>
                    <w:div w:id="1157576182">
                      <w:marLeft w:val="0"/>
                      <w:marRight w:val="0"/>
                      <w:marTop w:val="0"/>
                      <w:marBottom w:val="0"/>
                      <w:divBdr>
                        <w:top w:val="none" w:sz="0" w:space="0" w:color="auto"/>
                        <w:left w:val="none" w:sz="0" w:space="0" w:color="auto"/>
                        <w:bottom w:val="none" w:sz="0" w:space="0" w:color="auto"/>
                        <w:right w:val="none" w:sz="0" w:space="0" w:color="auto"/>
                      </w:divBdr>
                      <w:divsChild>
                        <w:div w:id="734360336">
                          <w:marLeft w:val="0"/>
                          <w:marRight w:val="0"/>
                          <w:marTop w:val="0"/>
                          <w:marBottom w:val="0"/>
                          <w:divBdr>
                            <w:top w:val="none" w:sz="0" w:space="0" w:color="auto"/>
                            <w:left w:val="none" w:sz="0" w:space="0" w:color="auto"/>
                            <w:bottom w:val="none" w:sz="0" w:space="0" w:color="auto"/>
                            <w:right w:val="none" w:sz="0" w:space="0" w:color="auto"/>
                          </w:divBdr>
                          <w:divsChild>
                            <w:div w:id="18155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4426904">
      <w:bodyDiv w:val="1"/>
      <w:marLeft w:val="0"/>
      <w:marRight w:val="0"/>
      <w:marTop w:val="0"/>
      <w:marBottom w:val="0"/>
      <w:divBdr>
        <w:top w:val="none" w:sz="0" w:space="0" w:color="auto"/>
        <w:left w:val="none" w:sz="0" w:space="0" w:color="auto"/>
        <w:bottom w:val="none" w:sz="0" w:space="0" w:color="auto"/>
        <w:right w:val="none" w:sz="0" w:space="0" w:color="auto"/>
      </w:divBdr>
      <w:divsChild>
        <w:div w:id="537746832">
          <w:marLeft w:val="0"/>
          <w:marRight w:val="0"/>
          <w:marTop w:val="0"/>
          <w:marBottom w:val="0"/>
          <w:divBdr>
            <w:top w:val="none" w:sz="0" w:space="0" w:color="auto"/>
            <w:left w:val="none" w:sz="0" w:space="0" w:color="auto"/>
            <w:bottom w:val="none" w:sz="0" w:space="0" w:color="auto"/>
            <w:right w:val="none" w:sz="0" w:space="0" w:color="auto"/>
          </w:divBdr>
          <w:divsChild>
            <w:div w:id="246311477">
              <w:marLeft w:val="0"/>
              <w:marRight w:val="0"/>
              <w:marTop w:val="0"/>
              <w:marBottom w:val="0"/>
              <w:divBdr>
                <w:top w:val="none" w:sz="0" w:space="0" w:color="auto"/>
                <w:left w:val="none" w:sz="0" w:space="0" w:color="auto"/>
                <w:bottom w:val="none" w:sz="0" w:space="0" w:color="auto"/>
                <w:right w:val="none" w:sz="0" w:space="0" w:color="auto"/>
              </w:divBdr>
              <w:divsChild>
                <w:div w:id="527792680">
                  <w:marLeft w:val="0"/>
                  <w:marRight w:val="0"/>
                  <w:marTop w:val="0"/>
                  <w:marBottom w:val="0"/>
                  <w:divBdr>
                    <w:top w:val="none" w:sz="0" w:space="0" w:color="auto"/>
                    <w:left w:val="none" w:sz="0" w:space="0" w:color="auto"/>
                    <w:bottom w:val="none" w:sz="0" w:space="0" w:color="auto"/>
                    <w:right w:val="none" w:sz="0" w:space="0" w:color="auto"/>
                  </w:divBdr>
                  <w:divsChild>
                    <w:div w:id="890730055">
                      <w:marLeft w:val="0"/>
                      <w:marRight w:val="0"/>
                      <w:marTop w:val="0"/>
                      <w:marBottom w:val="0"/>
                      <w:divBdr>
                        <w:top w:val="none" w:sz="0" w:space="0" w:color="auto"/>
                        <w:left w:val="none" w:sz="0" w:space="0" w:color="auto"/>
                        <w:bottom w:val="none" w:sz="0" w:space="0" w:color="auto"/>
                        <w:right w:val="none" w:sz="0" w:space="0" w:color="auto"/>
                      </w:divBdr>
                      <w:divsChild>
                        <w:div w:id="1368264146">
                          <w:marLeft w:val="0"/>
                          <w:marRight w:val="0"/>
                          <w:marTop w:val="0"/>
                          <w:marBottom w:val="0"/>
                          <w:divBdr>
                            <w:top w:val="none" w:sz="0" w:space="0" w:color="auto"/>
                            <w:left w:val="none" w:sz="0" w:space="0" w:color="auto"/>
                            <w:bottom w:val="none" w:sz="0" w:space="0" w:color="auto"/>
                            <w:right w:val="none" w:sz="0" w:space="0" w:color="auto"/>
                          </w:divBdr>
                          <w:divsChild>
                            <w:div w:id="277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1395664">
      <w:bodyDiv w:val="1"/>
      <w:marLeft w:val="0"/>
      <w:marRight w:val="0"/>
      <w:marTop w:val="0"/>
      <w:marBottom w:val="0"/>
      <w:divBdr>
        <w:top w:val="none" w:sz="0" w:space="0" w:color="auto"/>
        <w:left w:val="none" w:sz="0" w:space="0" w:color="auto"/>
        <w:bottom w:val="none" w:sz="0" w:space="0" w:color="auto"/>
        <w:right w:val="none" w:sz="0" w:space="0" w:color="auto"/>
      </w:divBdr>
    </w:div>
    <w:div w:id="411394644">
      <w:bodyDiv w:val="1"/>
      <w:marLeft w:val="0"/>
      <w:marRight w:val="0"/>
      <w:marTop w:val="0"/>
      <w:marBottom w:val="0"/>
      <w:divBdr>
        <w:top w:val="none" w:sz="0" w:space="0" w:color="auto"/>
        <w:left w:val="none" w:sz="0" w:space="0" w:color="auto"/>
        <w:bottom w:val="none" w:sz="0" w:space="0" w:color="auto"/>
        <w:right w:val="none" w:sz="0" w:space="0" w:color="auto"/>
      </w:divBdr>
    </w:div>
    <w:div w:id="547228883">
      <w:bodyDiv w:val="1"/>
      <w:marLeft w:val="0"/>
      <w:marRight w:val="0"/>
      <w:marTop w:val="0"/>
      <w:marBottom w:val="0"/>
      <w:divBdr>
        <w:top w:val="none" w:sz="0" w:space="0" w:color="auto"/>
        <w:left w:val="none" w:sz="0" w:space="0" w:color="auto"/>
        <w:bottom w:val="none" w:sz="0" w:space="0" w:color="auto"/>
        <w:right w:val="none" w:sz="0" w:space="0" w:color="auto"/>
      </w:divBdr>
    </w:div>
    <w:div w:id="560412498">
      <w:bodyDiv w:val="1"/>
      <w:marLeft w:val="0"/>
      <w:marRight w:val="0"/>
      <w:marTop w:val="0"/>
      <w:marBottom w:val="0"/>
      <w:divBdr>
        <w:top w:val="none" w:sz="0" w:space="0" w:color="auto"/>
        <w:left w:val="none" w:sz="0" w:space="0" w:color="auto"/>
        <w:bottom w:val="none" w:sz="0" w:space="0" w:color="auto"/>
        <w:right w:val="none" w:sz="0" w:space="0" w:color="auto"/>
      </w:divBdr>
    </w:div>
    <w:div w:id="589655156">
      <w:bodyDiv w:val="1"/>
      <w:marLeft w:val="0"/>
      <w:marRight w:val="0"/>
      <w:marTop w:val="0"/>
      <w:marBottom w:val="0"/>
      <w:divBdr>
        <w:top w:val="none" w:sz="0" w:space="0" w:color="auto"/>
        <w:left w:val="none" w:sz="0" w:space="0" w:color="auto"/>
        <w:bottom w:val="none" w:sz="0" w:space="0" w:color="auto"/>
        <w:right w:val="none" w:sz="0" w:space="0" w:color="auto"/>
      </w:divBdr>
    </w:div>
    <w:div w:id="642080647">
      <w:bodyDiv w:val="1"/>
      <w:marLeft w:val="0"/>
      <w:marRight w:val="0"/>
      <w:marTop w:val="0"/>
      <w:marBottom w:val="0"/>
      <w:divBdr>
        <w:top w:val="none" w:sz="0" w:space="0" w:color="auto"/>
        <w:left w:val="none" w:sz="0" w:space="0" w:color="auto"/>
        <w:bottom w:val="none" w:sz="0" w:space="0" w:color="auto"/>
        <w:right w:val="none" w:sz="0" w:space="0" w:color="auto"/>
      </w:divBdr>
    </w:div>
    <w:div w:id="709260095">
      <w:bodyDiv w:val="1"/>
      <w:marLeft w:val="0"/>
      <w:marRight w:val="0"/>
      <w:marTop w:val="0"/>
      <w:marBottom w:val="0"/>
      <w:divBdr>
        <w:top w:val="none" w:sz="0" w:space="0" w:color="auto"/>
        <w:left w:val="none" w:sz="0" w:space="0" w:color="auto"/>
        <w:bottom w:val="none" w:sz="0" w:space="0" w:color="auto"/>
        <w:right w:val="none" w:sz="0" w:space="0" w:color="auto"/>
      </w:divBdr>
    </w:div>
    <w:div w:id="784235757">
      <w:bodyDiv w:val="1"/>
      <w:marLeft w:val="0"/>
      <w:marRight w:val="0"/>
      <w:marTop w:val="0"/>
      <w:marBottom w:val="0"/>
      <w:divBdr>
        <w:top w:val="none" w:sz="0" w:space="0" w:color="auto"/>
        <w:left w:val="none" w:sz="0" w:space="0" w:color="auto"/>
        <w:bottom w:val="none" w:sz="0" w:space="0" w:color="auto"/>
        <w:right w:val="none" w:sz="0" w:space="0" w:color="auto"/>
      </w:divBdr>
    </w:div>
    <w:div w:id="863596896">
      <w:bodyDiv w:val="1"/>
      <w:marLeft w:val="0"/>
      <w:marRight w:val="0"/>
      <w:marTop w:val="0"/>
      <w:marBottom w:val="0"/>
      <w:divBdr>
        <w:top w:val="none" w:sz="0" w:space="0" w:color="auto"/>
        <w:left w:val="none" w:sz="0" w:space="0" w:color="auto"/>
        <w:bottom w:val="none" w:sz="0" w:space="0" w:color="auto"/>
        <w:right w:val="none" w:sz="0" w:space="0" w:color="auto"/>
      </w:divBdr>
    </w:div>
    <w:div w:id="1030108712">
      <w:bodyDiv w:val="1"/>
      <w:marLeft w:val="0"/>
      <w:marRight w:val="0"/>
      <w:marTop w:val="0"/>
      <w:marBottom w:val="0"/>
      <w:divBdr>
        <w:top w:val="none" w:sz="0" w:space="0" w:color="auto"/>
        <w:left w:val="none" w:sz="0" w:space="0" w:color="auto"/>
        <w:bottom w:val="none" w:sz="0" w:space="0" w:color="auto"/>
        <w:right w:val="none" w:sz="0" w:space="0" w:color="auto"/>
      </w:divBdr>
    </w:div>
    <w:div w:id="1101754041">
      <w:bodyDiv w:val="1"/>
      <w:marLeft w:val="0"/>
      <w:marRight w:val="0"/>
      <w:marTop w:val="0"/>
      <w:marBottom w:val="0"/>
      <w:divBdr>
        <w:top w:val="none" w:sz="0" w:space="0" w:color="auto"/>
        <w:left w:val="none" w:sz="0" w:space="0" w:color="auto"/>
        <w:bottom w:val="none" w:sz="0" w:space="0" w:color="auto"/>
        <w:right w:val="none" w:sz="0" w:space="0" w:color="auto"/>
      </w:divBdr>
    </w:div>
    <w:div w:id="1177692628">
      <w:bodyDiv w:val="1"/>
      <w:marLeft w:val="0"/>
      <w:marRight w:val="0"/>
      <w:marTop w:val="0"/>
      <w:marBottom w:val="0"/>
      <w:divBdr>
        <w:top w:val="none" w:sz="0" w:space="0" w:color="auto"/>
        <w:left w:val="none" w:sz="0" w:space="0" w:color="auto"/>
        <w:bottom w:val="none" w:sz="0" w:space="0" w:color="auto"/>
        <w:right w:val="none" w:sz="0" w:space="0" w:color="auto"/>
      </w:divBdr>
    </w:div>
    <w:div w:id="1199509951">
      <w:bodyDiv w:val="1"/>
      <w:marLeft w:val="0"/>
      <w:marRight w:val="0"/>
      <w:marTop w:val="0"/>
      <w:marBottom w:val="0"/>
      <w:divBdr>
        <w:top w:val="none" w:sz="0" w:space="0" w:color="auto"/>
        <w:left w:val="none" w:sz="0" w:space="0" w:color="auto"/>
        <w:bottom w:val="none" w:sz="0" w:space="0" w:color="auto"/>
        <w:right w:val="none" w:sz="0" w:space="0" w:color="auto"/>
      </w:divBdr>
    </w:div>
    <w:div w:id="1239435870">
      <w:bodyDiv w:val="1"/>
      <w:marLeft w:val="0"/>
      <w:marRight w:val="0"/>
      <w:marTop w:val="0"/>
      <w:marBottom w:val="0"/>
      <w:divBdr>
        <w:top w:val="none" w:sz="0" w:space="0" w:color="auto"/>
        <w:left w:val="none" w:sz="0" w:space="0" w:color="auto"/>
        <w:bottom w:val="none" w:sz="0" w:space="0" w:color="auto"/>
        <w:right w:val="none" w:sz="0" w:space="0" w:color="auto"/>
      </w:divBdr>
    </w:div>
    <w:div w:id="1306737301">
      <w:bodyDiv w:val="1"/>
      <w:marLeft w:val="0"/>
      <w:marRight w:val="0"/>
      <w:marTop w:val="0"/>
      <w:marBottom w:val="0"/>
      <w:divBdr>
        <w:top w:val="none" w:sz="0" w:space="0" w:color="auto"/>
        <w:left w:val="none" w:sz="0" w:space="0" w:color="auto"/>
        <w:bottom w:val="none" w:sz="0" w:space="0" w:color="auto"/>
        <w:right w:val="none" w:sz="0" w:space="0" w:color="auto"/>
      </w:divBdr>
    </w:div>
    <w:div w:id="1322155334">
      <w:bodyDiv w:val="1"/>
      <w:marLeft w:val="0"/>
      <w:marRight w:val="0"/>
      <w:marTop w:val="0"/>
      <w:marBottom w:val="0"/>
      <w:divBdr>
        <w:top w:val="none" w:sz="0" w:space="0" w:color="auto"/>
        <w:left w:val="none" w:sz="0" w:space="0" w:color="auto"/>
        <w:bottom w:val="none" w:sz="0" w:space="0" w:color="auto"/>
        <w:right w:val="none" w:sz="0" w:space="0" w:color="auto"/>
      </w:divBdr>
    </w:div>
    <w:div w:id="1435593506">
      <w:bodyDiv w:val="1"/>
      <w:marLeft w:val="0"/>
      <w:marRight w:val="0"/>
      <w:marTop w:val="0"/>
      <w:marBottom w:val="0"/>
      <w:divBdr>
        <w:top w:val="none" w:sz="0" w:space="0" w:color="auto"/>
        <w:left w:val="none" w:sz="0" w:space="0" w:color="auto"/>
        <w:bottom w:val="none" w:sz="0" w:space="0" w:color="auto"/>
        <w:right w:val="none" w:sz="0" w:space="0" w:color="auto"/>
      </w:divBdr>
    </w:div>
    <w:div w:id="1537811357">
      <w:bodyDiv w:val="1"/>
      <w:marLeft w:val="0"/>
      <w:marRight w:val="0"/>
      <w:marTop w:val="0"/>
      <w:marBottom w:val="0"/>
      <w:divBdr>
        <w:top w:val="none" w:sz="0" w:space="0" w:color="auto"/>
        <w:left w:val="none" w:sz="0" w:space="0" w:color="auto"/>
        <w:bottom w:val="none" w:sz="0" w:space="0" w:color="auto"/>
        <w:right w:val="none" w:sz="0" w:space="0" w:color="auto"/>
      </w:divBdr>
    </w:div>
    <w:div w:id="1555849447">
      <w:bodyDiv w:val="1"/>
      <w:marLeft w:val="0"/>
      <w:marRight w:val="0"/>
      <w:marTop w:val="0"/>
      <w:marBottom w:val="0"/>
      <w:divBdr>
        <w:top w:val="none" w:sz="0" w:space="0" w:color="auto"/>
        <w:left w:val="none" w:sz="0" w:space="0" w:color="auto"/>
        <w:bottom w:val="none" w:sz="0" w:space="0" w:color="auto"/>
        <w:right w:val="none" w:sz="0" w:space="0" w:color="auto"/>
      </w:divBdr>
    </w:div>
    <w:div w:id="1615211674">
      <w:bodyDiv w:val="1"/>
      <w:marLeft w:val="0"/>
      <w:marRight w:val="0"/>
      <w:marTop w:val="0"/>
      <w:marBottom w:val="0"/>
      <w:divBdr>
        <w:top w:val="none" w:sz="0" w:space="0" w:color="auto"/>
        <w:left w:val="none" w:sz="0" w:space="0" w:color="auto"/>
        <w:bottom w:val="none" w:sz="0" w:space="0" w:color="auto"/>
        <w:right w:val="none" w:sz="0" w:space="0" w:color="auto"/>
      </w:divBdr>
    </w:div>
    <w:div w:id="1665934465">
      <w:bodyDiv w:val="1"/>
      <w:marLeft w:val="0"/>
      <w:marRight w:val="0"/>
      <w:marTop w:val="0"/>
      <w:marBottom w:val="0"/>
      <w:divBdr>
        <w:top w:val="none" w:sz="0" w:space="0" w:color="auto"/>
        <w:left w:val="none" w:sz="0" w:space="0" w:color="auto"/>
        <w:bottom w:val="none" w:sz="0" w:space="0" w:color="auto"/>
        <w:right w:val="none" w:sz="0" w:space="0" w:color="auto"/>
      </w:divBdr>
    </w:div>
    <w:div w:id="1727219938">
      <w:bodyDiv w:val="1"/>
      <w:marLeft w:val="0"/>
      <w:marRight w:val="0"/>
      <w:marTop w:val="0"/>
      <w:marBottom w:val="0"/>
      <w:divBdr>
        <w:top w:val="none" w:sz="0" w:space="0" w:color="auto"/>
        <w:left w:val="none" w:sz="0" w:space="0" w:color="auto"/>
        <w:bottom w:val="none" w:sz="0" w:space="0" w:color="auto"/>
        <w:right w:val="none" w:sz="0" w:space="0" w:color="auto"/>
      </w:divBdr>
    </w:div>
    <w:div w:id="1819104399">
      <w:bodyDiv w:val="1"/>
      <w:marLeft w:val="0"/>
      <w:marRight w:val="0"/>
      <w:marTop w:val="0"/>
      <w:marBottom w:val="0"/>
      <w:divBdr>
        <w:top w:val="none" w:sz="0" w:space="0" w:color="auto"/>
        <w:left w:val="none" w:sz="0" w:space="0" w:color="auto"/>
        <w:bottom w:val="none" w:sz="0" w:space="0" w:color="auto"/>
        <w:right w:val="none" w:sz="0" w:space="0" w:color="auto"/>
      </w:divBdr>
    </w:div>
    <w:div w:id="207967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hyperlink" Target="http://www.ipni.net/lacs" TargetMode="External"/><Relationship Id="rId3" Type="http://schemas.openxmlformats.org/officeDocument/2006/relationships/styles" Target="styles.xml"/><Relationship Id="rId21" Type="http://schemas.openxmlformats.org/officeDocument/2006/relationships/chart" Target="charts/chart3.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image" Target="media/image10.emf"/><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hyperlink" Target="mailto:ferraris.gustavo@inta.gob.ar" TargetMode="External"/><Relationship Id="rId11" Type="http://schemas.openxmlformats.org/officeDocument/2006/relationships/image" Target="media/image5.emf"/><Relationship Id="rId24" Type="http://schemas.openxmlformats.org/officeDocument/2006/relationships/chart" Target="charts/chart6.xml"/><Relationship Id="rId5" Type="http://schemas.openxmlformats.org/officeDocument/2006/relationships/webSettings" Target="webSettings.xml"/><Relationship Id="rId15" Type="http://schemas.openxmlformats.org/officeDocument/2006/relationships/image" Target="media/image9.emf"/><Relationship Id="rId23" Type="http://schemas.openxmlformats.org/officeDocument/2006/relationships/chart" Target="charts/chart5.xml"/><Relationship Id="rId28"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chart" Target="charts/chart4.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Gustavo%201%2025-feb\Excel\Ensayos\2019%20(Ex)\LD\Larga%20duraci&#243;n%2014%20a&#241;o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Gustavo%201%2025-feb\Excel\Ensayos\2019%20(Ex)\LD\Larga%20duraci&#243;n%2014%20a&#241;o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Gustavo%201%2025-feb\Excel\Ensayos\2019%20(Ex)\LD\Larga%20duraci&#243;n%2014%20a&#241;o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Gustavo%201%2025-feb\Excel\Ensayos\2018\LD\Larga%20duraci&#243;n%2013%20a&#241;o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Gustavo%201%2025-feb\Excel\Ensayos\2018\LD\Larga%20duraci&#243;n%2013%20a&#241;o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Gustavo%201%2025-feb\Excel\Ensayos\2019%20(Ex)\LD\Larga%20duraci&#243;n%2014%20a&#241;o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Gustavo%201%2025-feb\Excel\Ensayos\2019%20(Ex)\LD\Larga%20duraci&#243;n%2014%20a&#241;o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886851805861929"/>
          <c:y val="8.2705060418172383E-2"/>
          <c:w val="0.77279145301642493"/>
          <c:h val="0.78625305894734188"/>
        </c:manualLayout>
      </c:layout>
      <c:barChart>
        <c:barDir val="col"/>
        <c:grouping val="stacked"/>
        <c:varyColors val="0"/>
        <c:ser>
          <c:idx val="1"/>
          <c:order val="0"/>
          <c:tx>
            <c:v>Trigo (kg/ha)</c:v>
          </c:tx>
          <c:spPr>
            <a:solidFill>
              <a:srgbClr val="FFC000"/>
            </a:solidFill>
            <a:ln w="12700">
              <a:solidFill>
                <a:srgbClr val="000000"/>
              </a:solidFill>
              <a:prstDash val="solid"/>
            </a:ln>
          </c:spPr>
          <c:invertIfNegative val="0"/>
          <c:dPt>
            <c:idx val="0"/>
            <c:invertIfNegative val="0"/>
            <c:bubble3D val="0"/>
          </c:dPt>
          <c:dLbls>
            <c:dLbl>
              <c:idx val="0"/>
              <c:tx>
                <c:rich>
                  <a:bodyPr/>
                  <a:lstStyle/>
                  <a:p>
                    <a:fld id="{31CA12D3-0E5A-4A40-A2DB-6EA958B28816}" type="VALUE">
                      <a:rPr lang="en-US"/>
                      <a:pPr/>
                      <a:t>[VALOR]</a:t>
                    </a:fld>
                    <a:endParaRPr lang="en-US"/>
                  </a:p>
                  <a:p>
                    <a:r>
                      <a:rPr lang="en-US"/>
                      <a:t>b</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tx>
                <c:rich>
                  <a:bodyPr/>
                  <a:lstStyle/>
                  <a:p>
                    <a:fld id="{E4077939-94FC-4B98-B957-40F08DF5192A}" type="VALUE">
                      <a:rPr lang="en-US"/>
                      <a:pPr/>
                      <a:t>[VALOR]</a:t>
                    </a:fld>
                    <a:endParaRPr lang="en-US"/>
                  </a:p>
                  <a:p>
                    <a:r>
                      <a:rPr lang="en-US"/>
                      <a:t>a</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2"/>
              <c:tx>
                <c:rich>
                  <a:bodyPr/>
                  <a:lstStyle/>
                  <a:p>
                    <a:fld id="{3A5A099E-F72D-48F9-9381-B697AC4442EE}" type="VALUE">
                      <a:rPr lang="en-US"/>
                      <a:pPr/>
                      <a:t>[VALOR]</a:t>
                    </a:fld>
                    <a:endParaRPr lang="en-US"/>
                  </a:p>
                  <a:p>
                    <a:r>
                      <a:rPr lang="en-US"/>
                      <a:t>a</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3"/>
              <c:tx>
                <c:rich>
                  <a:bodyPr/>
                  <a:lstStyle/>
                  <a:p>
                    <a:fld id="{AD7A3246-94AB-4970-AAAB-38BD53424D2E}" type="VALUE">
                      <a:rPr lang="en-US"/>
                      <a:pPr/>
                      <a:t>[VALOR]</a:t>
                    </a:fld>
                    <a:endParaRPr lang="en-US"/>
                  </a:p>
                  <a:p>
                    <a:r>
                      <a:rPr lang="en-US"/>
                      <a:t>a</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4"/>
              <c:tx>
                <c:rich>
                  <a:bodyPr/>
                  <a:lstStyle/>
                  <a:p>
                    <a:fld id="{47167675-DB90-4F2F-8C31-C5BC7430A00A}" type="VALUE">
                      <a:rPr lang="en-US"/>
                      <a:pPr/>
                      <a:t>[VALOR]</a:t>
                    </a:fld>
                    <a:endParaRPr lang="en-US"/>
                  </a:p>
                  <a:p>
                    <a:r>
                      <a:rPr lang="en-US"/>
                      <a:t>a</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'TrSo 2018'!$J$101:$J$105</c:f>
              <c:strCache>
                <c:ptCount val="5"/>
                <c:pt idx="0">
                  <c:v>Control</c:v>
                </c:pt>
                <c:pt idx="1">
                  <c:v>Mínima</c:v>
                </c:pt>
                <c:pt idx="2">
                  <c:v>Rep BR</c:v>
                </c:pt>
                <c:pt idx="3">
                  <c:v>Rep AR</c:v>
                </c:pt>
                <c:pt idx="4">
                  <c:v>Reconstrucción</c:v>
                </c:pt>
              </c:strCache>
            </c:strRef>
          </c:cat>
          <c:val>
            <c:numRef>
              <c:f>'TrSo 2018'!$K$101:$K$105</c:f>
              <c:numCache>
                <c:formatCode>0</c:formatCode>
                <c:ptCount val="5"/>
                <c:pt idx="0">
                  <c:v>3260.7142857142862</c:v>
                </c:pt>
                <c:pt idx="1">
                  <c:v>5202.1428571428578</c:v>
                </c:pt>
                <c:pt idx="2">
                  <c:v>5852.1428571428578</c:v>
                </c:pt>
                <c:pt idx="3">
                  <c:v>6404.2857142857147</c:v>
                </c:pt>
                <c:pt idx="4">
                  <c:v>6600.0000000000009</c:v>
                </c:pt>
              </c:numCache>
            </c:numRef>
          </c:val>
        </c:ser>
        <c:ser>
          <c:idx val="2"/>
          <c:order val="1"/>
          <c:tx>
            <c:v>Soja2</c:v>
          </c:tx>
          <c:spPr>
            <a:solidFill>
              <a:srgbClr val="0066FF"/>
            </a:solidFill>
            <a:ln>
              <a:solidFill>
                <a:schemeClr val="tx1"/>
              </a:solidFill>
            </a:ln>
            <a:scene3d>
              <a:camera prst="orthographicFront"/>
              <a:lightRig rig="threePt" dir="t"/>
            </a:scene3d>
            <a:sp3d>
              <a:bevelT w="190500" h="38100"/>
            </a:sp3d>
          </c:spPr>
          <c:invertIfNegative val="0"/>
          <c:dLbls>
            <c:dLbl>
              <c:idx val="0"/>
              <c:layout>
                <c:manualLayout>
                  <c:x val="-2.4737167594310904E-3"/>
                  <c:y val="-3.2206119162640902E-3"/>
                </c:manualLayout>
              </c:layout>
              <c:tx>
                <c:rich>
                  <a:bodyPr/>
                  <a:lstStyle/>
                  <a:p>
                    <a:fld id="{5A34F44C-865C-411F-AC6F-7A2E3D8BFFE5}" type="VALUE">
                      <a:rPr lang="en-US"/>
                      <a:pPr/>
                      <a:t>[VALOR]</a:t>
                    </a:fld>
                    <a:endParaRPr lang="en-US"/>
                  </a:p>
                  <a:p>
                    <a:r>
                      <a:rPr lang="en-US"/>
                      <a:t>c</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layout>
                <c:manualLayout>
                  <c:x val="-4.5350950024857859E-17"/>
                  <c:y val="-5.9043869718353595E-17"/>
                </c:manualLayout>
              </c:layout>
              <c:tx>
                <c:rich>
                  <a:bodyPr/>
                  <a:lstStyle/>
                  <a:p>
                    <a:fld id="{DE29FD5A-3FB0-4FCB-87E0-78B24B18DE4F}" type="VALUE">
                      <a:rPr lang="en-US"/>
                      <a:pPr/>
                      <a:t>[VALOR]</a:t>
                    </a:fld>
                    <a:endParaRPr lang="en-US"/>
                  </a:p>
                  <a:p>
                    <a:r>
                      <a:rPr lang="en-US"/>
                      <a:t>c</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2"/>
              <c:layout>
                <c:manualLayout>
                  <c:x val="-4.9474335188621809E-3"/>
                  <c:y val="0"/>
                </c:manualLayout>
              </c:layout>
              <c:tx>
                <c:rich>
                  <a:bodyPr/>
                  <a:lstStyle/>
                  <a:p>
                    <a:fld id="{BBAC5D22-1A63-4935-B827-D536CE69F52C}" type="VALUE">
                      <a:rPr lang="en-US"/>
                      <a:pPr/>
                      <a:t>[VALOR]</a:t>
                    </a:fld>
                    <a:endParaRPr lang="en-US"/>
                  </a:p>
                  <a:p>
                    <a:r>
                      <a:rPr lang="en-US"/>
                      <a:t>b</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3"/>
              <c:layout>
                <c:manualLayout>
                  <c:x val="0"/>
                  <c:y val="-5.9043869718353595E-17"/>
                </c:manualLayout>
              </c:layout>
              <c:tx>
                <c:rich>
                  <a:bodyPr/>
                  <a:lstStyle/>
                  <a:p>
                    <a:fld id="{C8136B6E-2733-4F17-98E9-076F0E51BDC8}" type="VALUE">
                      <a:rPr lang="en-US"/>
                      <a:pPr/>
                      <a:t>[VALOR]</a:t>
                    </a:fld>
                    <a:endParaRPr lang="en-US"/>
                  </a:p>
                  <a:p>
                    <a:r>
                      <a:rPr lang="en-US"/>
                      <a:t>b</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4"/>
              <c:layout>
                <c:manualLayout>
                  <c:x val="2.4737167594310453E-3"/>
                  <c:y val="0"/>
                </c:manualLayout>
              </c:layout>
              <c:tx>
                <c:rich>
                  <a:bodyPr/>
                  <a:lstStyle/>
                  <a:p>
                    <a:fld id="{19F5395F-F155-4EB5-978F-F33394E03DF6}" type="VALUE">
                      <a:rPr lang="en-US"/>
                      <a:pPr/>
                      <a:t>[VALOR]</a:t>
                    </a:fld>
                    <a:endParaRPr lang="en-US"/>
                  </a:p>
                  <a:p>
                    <a:r>
                      <a:rPr lang="en-US"/>
                      <a:t>a</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solidFill>
                <a:schemeClr val="bg1"/>
              </a:solid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'TrSo 2018'!$J$118:$J$122</c:f>
              <c:strCache>
                <c:ptCount val="5"/>
                <c:pt idx="0">
                  <c:v>Control</c:v>
                </c:pt>
                <c:pt idx="1">
                  <c:v>Mínima</c:v>
                </c:pt>
                <c:pt idx="2">
                  <c:v>Rep BR</c:v>
                </c:pt>
                <c:pt idx="3">
                  <c:v>Rep AR</c:v>
                </c:pt>
                <c:pt idx="4">
                  <c:v>Reconstrucción</c:v>
                </c:pt>
              </c:strCache>
            </c:strRef>
          </c:cat>
          <c:val>
            <c:numRef>
              <c:f>'TrSo 2018'!$K$118:$K$122</c:f>
              <c:numCache>
                <c:formatCode>0</c:formatCode>
                <c:ptCount val="5"/>
                <c:pt idx="0">
                  <c:v>2448.2142857142858</c:v>
                </c:pt>
                <c:pt idx="1">
                  <c:v>2727.7777777777778</c:v>
                </c:pt>
                <c:pt idx="2">
                  <c:v>4053.5714285714289</c:v>
                </c:pt>
                <c:pt idx="3">
                  <c:v>3779.7619047619055</c:v>
                </c:pt>
                <c:pt idx="4">
                  <c:v>4857.936507936508</c:v>
                </c:pt>
              </c:numCache>
            </c:numRef>
          </c:val>
        </c:ser>
        <c:dLbls>
          <c:showLegendKey val="0"/>
          <c:showVal val="0"/>
          <c:showCatName val="0"/>
          <c:showSerName val="0"/>
          <c:showPercent val="0"/>
          <c:showBubbleSize val="0"/>
        </c:dLbls>
        <c:gapWidth val="150"/>
        <c:overlap val="100"/>
        <c:axId val="409754432"/>
        <c:axId val="409754992"/>
      </c:barChart>
      <c:lineChart>
        <c:grouping val="standard"/>
        <c:varyColors val="0"/>
        <c:ser>
          <c:idx val="0"/>
          <c:order val="2"/>
          <c:tx>
            <c:v>Proteína (%)</c:v>
          </c:tx>
          <c:spPr>
            <a:ln w="12700">
              <a:solidFill>
                <a:schemeClr val="tx1"/>
              </a:solidFill>
            </a:ln>
          </c:spPr>
          <c:marker>
            <c:symbol val="circle"/>
            <c:size val="7"/>
            <c:spPr>
              <a:solidFill>
                <a:srgbClr val="FF0000"/>
              </a:solidFill>
              <a:ln w="6350">
                <a:solidFill>
                  <a:schemeClr val="tx1"/>
                </a:solidFill>
              </a:ln>
            </c:spPr>
          </c:marker>
          <c:dLbls>
            <c:dLbl>
              <c:idx val="0"/>
              <c:layout>
                <c:manualLayout>
                  <c:x val="-4.702632950102021E-2"/>
                  <c:y val="-4.99194847020934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4.1493775933609957E-2"/>
                  <c:y val="-5.43478260869565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3.6607837813376773E-2"/>
                  <c:y val="-6.119162640901771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3.9081608305455415E-2"/>
                  <c:y val="-4.669887278582933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5.2346768342268903E-2"/>
                  <c:y val="-4.8711882029239095E-2"/>
                </c:manualLayout>
              </c:layout>
              <c:dLblPos val="r"/>
              <c:showLegendKey val="0"/>
              <c:showVal val="1"/>
              <c:showCatName val="0"/>
              <c:showSerName val="0"/>
              <c:showPercent val="0"/>
              <c:showBubbleSize val="0"/>
              <c:extLst>
                <c:ext xmlns:c15="http://schemas.microsoft.com/office/drawing/2012/chart" uri="{CE6537A1-D6FC-4f65-9D91-7224C49458BB}"/>
              </c:extLst>
            </c:dLbl>
            <c:numFmt formatCode="#,##0.0" sourceLinked="0"/>
            <c:spPr>
              <a:noFill/>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'TrSo 2018'!$J$118:$J$122</c:f>
              <c:strCache>
                <c:ptCount val="5"/>
                <c:pt idx="0">
                  <c:v>Control</c:v>
                </c:pt>
                <c:pt idx="1">
                  <c:v>Mínima</c:v>
                </c:pt>
                <c:pt idx="2">
                  <c:v>Rep BR</c:v>
                </c:pt>
                <c:pt idx="3">
                  <c:v>Rep AR</c:v>
                </c:pt>
                <c:pt idx="4">
                  <c:v>Reconstrucción</c:v>
                </c:pt>
              </c:strCache>
            </c:strRef>
          </c:cat>
          <c:val>
            <c:numRef>
              <c:f>'TrSo 2018'!$M$101:$M$105</c:f>
              <c:numCache>
                <c:formatCode>0.0</c:formatCode>
                <c:ptCount val="5"/>
                <c:pt idx="0">
                  <c:v>10.3125</c:v>
                </c:pt>
                <c:pt idx="1">
                  <c:v>10.25</c:v>
                </c:pt>
                <c:pt idx="2">
                  <c:v>12.078125</c:v>
                </c:pt>
                <c:pt idx="3">
                  <c:v>10.9</c:v>
                </c:pt>
                <c:pt idx="4">
                  <c:v>11.296875</c:v>
                </c:pt>
              </c:numCache>
            </c:numRef>
          </c:val>
          <c:smooth val="0"/>
        </c:ser>
        <c:dLbls>
          <c:showLegendKey val="0"/>
          <c:showVal val="0"/>
          <c:showCatName val="0"/>
          <c:showSerName val="0"/>
          <c:showPercent val="0"/>
          <c:showBubbleSize val="0"/>
        </c:dLbls>
        <c:marker val="1"/>
        <c:smooth val="0"/>
        <c:axId val="409755552"/>
        <c:axId val="409756112"/>
      </c:lineChart>
      <c:catAx>
        <c:axId val="409754432"/>
        <c:scaling>
          <c:orientation val="minMax"/>
        </c:scaling>
        <c:delete val="0"/>
        <c:axPos val="b"/>
        <c:title>
          <c:tx>
            <c:rich>
              <a:bodyPr/>
              <a:lstStyle/>
              <a:p>
                <a:pPr>
                  <a:defRPr/>
                </a:pPr>
                <a:r>
                  <a:rPr lang="en-US"/>
                  <a:t>Estrategias de fertilización</a:t>
                </a:r>
              </a:p>
            </c:rich>
          </c:tx>
          <c:layout>
            <c:manualLayout>
              <c:xMode val="edge"/>
              <c:yMode val="edge"/>
              <c:x val="0.42096893732439289"/>
              <c:y val="0.93598437876424856"/>
            </c:manualLayout>
          </c:layout>
          <c:overlay val="0"/>
        </c:title>
        <c:numFmt formatCode="General" sourceLinked="1"/>
        <c:majorTickMark val="out"/>
        <c:minorTickMark val="none"/>
        <c:tickLblPos val="nextTo"/>
        <c:spPr>
          <a:ln w="3175">
            <a:solidFill>
              <a:srgbClr val="000000"/>
            </a:solidFill>
            <a:prstDash val="solid"/>
          </a:ln>
        </c:spPr>
        <c:txPr>
          <a:bodyPr rot="0" vert="horz"/>
          <a:lstStyle/>
          <a:p>
            <a:pPr>
              <a:defRPr/>
            </a:pPr>
            <a:endParaRPr lang="es-ES"/>
          </a:p>
        </c:txPr>
        <c:crossAx val="409754992"/>
        <c:crosses val="autoZero"/>
        <c:auto val="0"/>
        <c:lblAlgn val="ctr"/>
        <c:lblOffset val="100"/>
        <c:tickLblSkip val="1"/>
        <c:noMultiLvlLbl val="0"/>
      </c:catAx>
      <c:valAx>
        <c:axId val="409754992"/>
        <c:scaling>
          <c:orientation val="minMax"/>
          <c:max val="14000"/>
        </c:scaling>
        <c:delete val="0"/>
        <c:axPos val="l"/>
        <c:title>
          <c:tx>
            <c:rich>
              <a:bodyPr/>
              <a:lstStyle/>
              <a:p>
                <a:pPr>
                  <a:defRPr/>
                </a:pPr>
                <a:r>
                  <a:rPr lang="es-AR"/>
                  <a:t>Rendimiento (kg/ha)</a:t>
                </a:r>
              </a:p>
            </c:rich>
          </c:tx>
          <c:layout>
            <c:manualLayout>
              <c:xMode val="edge"/>
              <c:yMode val="edge"/>
              <c:x val="8.1338598736752851E-3"/>
              <c:y val="0.28527467741822193"/>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a:pPr>
            <a:endParaRPr lang="es-ES"/>
          </a:p>
        </c:txPr>
        <c:crossAx val="409754432"/>
        <c:crosses val="autoZero"/>
        <c:crossBetween val="between"/>
      </c:valAx>
      <c:catAx>
        <c:axId val="409755552"/>
        <c:scaling>
          <c:orientation val="minMax"/>
        </c:scaling>
        <c:delete val="1"/>
        <c:axPos val="b"/>
        <c:numFmt formatCode="General" sourceLinked="1"/>
        <c:majorTickMark val="out"/>
        <c:minorTickMark val="none"/>
        <c:tickLblPos val="nextTo"/>
        <c:crossAx val="409756112"/>
        <c:crosses val="autoZero"/>
        <c:auto val="0"/>
        <c:lblAlgn val="ctr"/>
        <c:lblOffset val="100"/>
        <c:noMultiLvlLbl val="0"/>
      </c:catAx>
      <c:valAx>
        <c:axId val="409756112"/>
        <c:scaling>
          <c:orientation val="minMax"/>
          <c:max val="14"/>
        </c:scaling>
        <c:delete val="0"/>
        <c:axPos val="r"/>
        <c:numFmt formatCode="0.0" sourceLinked="1"/>
        <c:majorTickMark val="out"/>
        <c:minorTickMark val="none"/>
        <c:tickLblPos val="nextTo"/>
        <c:spPr>
          <a:ln>
            <a:solidFill>
              <a:schemeClr val="tx1"/>
            </a:solidFill>
          </a:ln>
        </c:spPr>
        <c:crossAx val="409755552"/>
        <c:crosses val="max"/>
        <c:crossBetween val="between"/>
      </c:valAx>
      <c:spPr>
        <a:noFill/>
        <a:ln w="25400">
          <a:noFill/>
        </a:ln>
      </c:spPr>
    </c:plotArea>
    <c:legend>
      <c:legendPos val="t"/>
      <c:layout>
        <c:manualLayout>
          <c:xMode val="edge"/>
          <c:yMode val="edge"/>
          <c:x val="0.23787318792943091"/>
          <c:y val="2.8985507246376812E-2"/>
          <c:w val="0.60264337087734166"/>
          <c:h val="5.1367238515475422E-2"/>
        </c:manualLayout>
      </c:layout>
      <c:overlay val="0"/>
    </c:legend>
    <c:plotVisOnly val="1"/>
    <c:dispBlanksAs val="gap"/>
    <c:showDLblsOverMax val="0"/>
  </c:chart>
  <c:spPr>
    <a:noFill/>
    <a:ln w="3175">
      <a:noFill/>
      <a:prstDash val="solid"/>
    </a:ln>
  </c:spPr>
  <c:txPr>
    <a:bodyPr/>
    <a:lstStyle/>
    <a:p>
      <a:pPr>
        <a:defRPr sz="700" b="1"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s-E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AR"/>
              <a:t>Maíz 2019/20</a:t>
            </a:r>
          </a:p>
        </c:rich>
      </c:tx>
      <c:layout>
        <c:manualLayout>
          <c:xMode val="edge"/>
          <c:yMode val="edge"/>
          <c:x val="0.18254653652164449"/>
          <c:y val="5.9753954305799648E-2"/>
        </c:manualLayout>
      </c:layout>
      <c:overlay val="1"/>
    </c:title>
    <c:autoTitleDeleted val="0"/>
    <c:plotArea>
      <c:layout>
        <c:manualLayout>
          <c:layoutTarget val="inner"/>
          <c:xMode val="edge"/>
          <c:yMode val="edge"/>
          <c:x val="0.15145985401459855"/>
          <c:y val="7.2165039270194797E-2"/>
          <c:w val="0.81952804286560943"/>
          <c:h val="0.78915514128976516"/>
        </c:manualLayout>
      </c:layout>
      <c:barChart>
        <c:barDir val="col"/>
        <c:grouping val="clustered"/>
        <c:varyColors val="0"/>
        <c:ser>
          <c:idx val="6"/>
          <c:order val="0"/>
          <c:spPr>
            <a:solidFill>
              <a:schemeClr val="accent6">
                <a:lumMod val="75000"/>
              </a:schemeClr>
            </a:solidFill>
            <a:ln w="12700">
              <a:solidFill>
                <a:srgbClr val="000000"/>
              </a:solidFill>
              <a:prstDash val="solid"/>
            </a:ln>
          </c:spPr>
          <c:invertIfNegative val="0"/>
          <c:dLbls>
            <c:dLbl>
              <c:idx val="0"/>
              <c:tx>
                <c:rich>
                  <a:bodyPr/>
                  <a:lstStyle/>
                  <a:p>
                    <a:fld id="{86BE9CFB-769E-454A-A87A-9173EED384A7}" type="VALUE">
                      <a:rPr lang="en-US"/>
                      <a:pPr/>
                      <a:t>[VALOR]</a:t>
                    </a:fld>
                    <a:endParaRPr lang="en-US"/>
                  </a:p>
                  <a:p>
                    <a:r>
                      <a:rPr lang="en-US"/>
                      <a:t>d</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tx>
                <c:rich>
                  <a:bodyPr/>
                  <a:lstStyle/>
                  <a:p>
                    <a:fld id="{02E19479-156F-41F2-94CC-58F49901DDA6}" type="VALUE">
                      <a:rPr lang="en-US"/>
                      <a:pPr/>
                      <a:t>[VALOR]</a:t>
                    </a:fld>
                    <a:endParaRPr lang="en-US"/>
                  </a:p>
                  <a:p>
                    <a:r>
                      <a:rPr lang="en-US"/>
                      <a:t>c</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2"/>
              <c:tx>
                <c:rich>
                  <a:bodyPr/>
                  <a:lstStyle/>
                  <a:p>
                    <a:fld id="{2B8A1D3A-0884-47C6-ABBB-72626A59CC15}" type="VALUE">
                      <a:rPr lang="en-US"/>
                      <a:pPr/>
                      <a:t>[VALOR]</a:t>
                    </a:fld>
                    <a:endParaRPr lang="en-US"/>
                  </a:p>
                  <a:p>
                    <a:r>
                      <a:rPr lang="en-US"/>
                      <a:t>bc</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3"/>
              <c:tx>
                <c:rich>
                  <a:bodyPr/>
                  <a:lstStyle/>
                  <a:p>
                    <a:fld id="{6D9A3644-BB12-454F-83E0-8A24DBBF93D2}" type="VALUE">
                      <a:rPr lang="en-US"/>
                      <a:pPr/>
                      <a:t>[VALOR]</a:t>
                    </a:fld>
                    <a:endParaRPr lang="en-US"/>
                  </a:p>
                  <a:p>
                    <a:r>
                      <a:rPr lang="en-US"/>
                      <a:t>ab</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4"/>
              <c:tx>
                <c:rich>
                  <a:bodyPr/>
                  <a:lstStyle/>
                  <a:p>
                    <a:fld id="{DE803D73-FE75-464E-9450-171D8A7A2E4E}" type="VALUE">
                      <a:rPr lang="en-US"/>
                      <a:pPr/>
                      <a:t>[VALOR]</a:t>
                    </a:fld>
                    <a:endParaRPr lang="en-US"/>
                  </a:p>
                  <a:p>
                    <a:r>
                      <a:rPr lang="en-US"/>
                      <a:t>a</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errBars>
            <c:errBarType val="minus"/>
            <c:errValType val="cust"/>
            <c:noEndCap val="0"/>
            <c:plus>
              <c:numRef>
                <c:f>'Maíz 2019'!$H$18:$H$22</c:f>
                <c:numCache>
                  <c:formatCode>General</c:formatCode>
                  <c:ptCount val="5"/>
                  <c:pt idx="0">
                    <c:v>370.27354752939078</c:v>
                  </c:pt>
                  <c:pt idx="1">
                    <c:v>799.17613828241895</c:v>
                  </c:pt>
                  <c:pt idx="2">
                    <c:v>1190.4682814618232</c:v>
                  </c:pt>
                  <c:pt idx="3">
                    <c:v>804.62987091374293</c:v>
                  </c:pt>
                  <c:pt idx="4">
                    <c:v>1177.5198158276007</c:v>
                  </c:pt>
                </c:numCache>
              </c:numRef>
            </c:plus>
            <c:minus>
              <c:numRef>
                <c:f>'Maíz 2019'!$H$18:$H$22</c:f>
                <c:numCache>
                  <c:formatCode>General</c:formatCode>
                  <c:ptCount val="5"/>
                  <c:pt idx="0">
                    <c:v>370.27354752939078</c:v>
                  </c:pt>
                  <c:pt idx="1">
                    <c:v>799.17613828241895</c:v>
                  </c:pt>
                  <c:pt idx="2">
                    <c:v>1190.4682814618232</c:v>
                  </c:pt>
                  <c:pt idx="3">
                    <c:v>804.62987091374293</c:v>
                  </c:pt>
                  <c:pt idx="4">
                    <c:v>1177.5198158276007</c:v>
                  </c:pt>
                </c:numCache>
              </c:numRef>
            </c:minus>
          </c:errBars>
          <c:cat>
            <c:strRef>
              <c:f>'Soj 2014'!$I$230:$I$234</c:f>
              <c:strCache>
                <c:ptCount val="5"/>
                <c:pt idx="0">
                  <c:v>Testigo</c:v>
                </c:pt>
                <c:pt idx="1">
                  <c:v>TUA</c:v>
                </c:pt>
                <c:pt idx="2">
                  <c:v>RepPS</c:v>
                </c:pt>
                <c:pt idx="3">
                  <c:v>RepPS AR</c:v>
                </c:pt>
                <c:pt idx="4">
                  <c:v>Reconst</c:v>
                </c:pt>
              </c:strCache>
            </c:strRef>
          </c:cat>
          <c:val>
            <c:numRef>
              <c:f>'Maíz 2019'!$G$18:$G$22</c:f>
              <c:numCache>
                <c:formatCode>0</c:formatCode>
                <c:ptCount val="5"/>
                <c:pt idx="0">
                  <c:v>6915</c:v>
                </c:pt>
                <c:pt idx="1">
                  <c:v>9751</c:v>
                </c:pt>
                <c:pt idx="2">
                  <c:v>10898.75</c:v>
                </c:pt>
                <c:pt idx="3">
                  <c:v>12892.75</c:v>
                </c:pt>
                <c:pt idx="4">
                  <c:v>15041.5</c:v>
                </c:pt>
              </c:numCache>
            </c:numRef>
          </c:val>
        </c:ser>
        <c:dLbls>
          <c:showLegendKey val="0"/>
          <c:showVal val="0"/>
          <c:showCatName val="0"/>
          <c:showSerName val="0"/>
          <c:showPercent val="0"/>
          <c:showBubbleSize val="0"/>
        </c:dLbls>
        <c:gapWidth val="150"/>
        <c:axId val="357359760"/>
        <c:axId val="357360320"/>
      </c:barChart>
      <c:catAx>
        <c:axId val="357359760"/>
        <c:scaling>
          <c:orientation val="minMax"/>
        </c:scaling>
        <c:delete val="0"/>
        <c:axPos val="b"/>
        <c:title>
          <c:tx>
            <c:rich>
              <a:bodyPr/>
              <a:lstStyle/>
              <a:p>
                <a:pPr>
                  <a:defRPr/>
                </a:pPr>
                <a:r>
                  <a:rPr lang="es-AR"/>
                  <a:t>Estrategia de Fertilización</a:t>
                </a:r>
              </a:p>
            </c:rich>
          </c:tx>
          <c:layout>
            <c:manualLayout>
              <c:xMode val="edge"/>
              <c:yMode val="edge"/>
              <c:x val="0.38549533498093752"/>
              <c:y val="0.92338357905975399"/>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a:pPr>
            <a:endParaRPr lang="es-ES"/>
          </a:p>
        </c:txPr>
        <c:crossAx val="357360320"/>
        <c:crosses val="autoZero"/>
        <c:auto val="1"/>
        <c:lblAlgn val="ctr"/>
        <c:lblOffset val="100"/>
        <c:tickLblSkip val="1"/>
        <c:tickMarkSkip val="1"/>
        <c:noMultiLvlLbl val="0"/>
      </c:catAx>
      <c:valAx>
        <c:axId val="357360320"/>
        <c:scaling>
          <c:orientation val="minMax"/>
          <c:max val="18000"/>
          <c:min val="0"/>
        </c:scaling>
        <c:delete val="0"/>
        <c:axPos val="l"/>
        <c:title>
          <c:tx>
            <c:rich>
              <a:bodyPr/>
              <a:lstStyle/>
              <a:p>
                <a:pPr>
                  <a:defRPr/>
                </a:pPr>
                <a:r>
                  <a:rPr lang="es-AR"/>
                  <a:t>Rendimiento (kg/ha)</a:t>
                </a:r>
              </a:p>
            </c:rich>
          </c:tx>
          <c:layout>
            <c:manualLayout>
              <c:xMode val="edge"/>
              <c:yMode val="edge"/>
              <c:x val="2.8871391076115485E-3"/>
              <c:y val="0.2610071544220417"/>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a:pPr>
            <a:endParaRPr lang="es-ES"/>
          </a:p>
        </c:txPr>
        <c:crossAx val="357359760"/>
        <c:crosses val="autoZero"/>
        <c:crossBetween val="between"/>
        <c:majorUnit val="1000"/>
      </c:valAx>
      <c:spPr>
        <a:noFill/>
        <a:ln w="25400">
          <a:noFill/>
        </a:ln>
      </c:spPr>
    </c:plotArea>
    <c:plotVisOnly val="1"/>
    <c:dispBlanksAs val="gap"/>
    <c:showDLblsOverMax val="0"/>
  </c:chart>
  <c:spPr>
    <a:noFill/>
    <a:ln w="9525">
      <a:noFill/>
    </a:ln>
  </c:spPr>
  <c:txPr>
    <a:bodyPr/>
    <a:lstStyle/>
    <a:p>
      <a:pPr>
        <a:defRPr sz="700" b="1" i="0" u="none" strike="noStrike" baseline="0">
          <a:solidFill>
            <a:srgbClr val="000000"/>
          </a:solidFill>
          <a:latin typeface="Times New Roman"/>
          <a:ea typeface="Times New Roman"/>
          <a:cs typeface="Times New Roman"/>
        </a:defRPr>
      </a:pPr>
      <a:endParaRPr lang="es-E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402077317654881"/>
          <c:y val="8.6620262954369684E-2"/>
          <c:w val="0.83161573875430506"/>
          <c:h val="0.76411446249033255"/>
        </c:manualLayout>
      </c:layout>
      <c:barChart>
        <c:barDir val="col"/>
        <c:grouping val="stacked"/>
        <c:varyColors val="0"/>
        <c:ser>
          <c:idx val="0"/>
          <c:order val="0"/>
          <c:tx>
            <c:strRef>
              <c:f>'Graf 2018'!$C$86</c:f>
              <c:strCache>
                <c:ptCount val="1"/>
                <c:pt idx="0">
                  <c:v>Maíz</c:v>
                </c:pt>
              </c:strCache>
            </c:strRef>
          </c:tx>
          <c:spPr>
            <a:solidFill>
              <a:srgbClr val="FF6600"/>
            </a:solidFill>
            <a:ln w="12700">
              <a:solidFill>
                <a:srgbClr val="000000"/>
              </a:solidFill>
              <a:prstDash val="solid"/>
            </a:ln>
          </c:spPr>
          <c:invertIfNegative val="0"/>
          <c:dLbls>
            <c:spPr>
              <a:noFill/>
              <a:ln>
                <a:noFill/>
              </a:ln>
              <a:effectLst/>
            </c:spPr>
            <c:txPr>
              <a:bodyPr wrap="square" lIns="38100" tIns="19050" rIns="38100" bIns="19050" anchor="ctr">
                <a:spAutoFit/>
              </a:bodyPr>
              <a:lstStyle/>
              <a:p>
                <a:pPr>
                  <a:defRPr b="1">
                    <a:solidFill>
                      <a:schemeClr val="tx1"/>
                    </a:solidFill>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'Graf 2018'!$D$85:$H$85</c:f>
              <c:strCache>
                <c:ptCount val="5"/>
                <c:pt idx="0">
                  <c:v>Testigo</c:v>
                </c:pt>
                <c:pt idx="1">
                  <c:v>TUA</c:v>
                </c:pt>
                <c:pt idx="2">
                  <c:v>Rep PS</c:v>
                </c:pt>
                <c:pt idx="3">
                  <c:v>Rep PS AR</c:v>
                </c:pt>
                <c:pt idx="4">
                  <c:v>Reconstrucción</c:v>
                </c:pt>
              </c:strCache>
            </c:strRef>
          </c:cat>
          <c:val>
            <c:numRef>
              <c:f>'Graf 2018'!$D$86:$H$86</c:f>
              <c:numCache>
                <c:formatCode>General</c:formatCode>
                <c:ptCount val="5"/>
                <c:pt idx="0">
                  <c:v>9301</c:v>
                </c:pt>
                <c:pt idx="1">
                  <c:v>10927</c:v>
                </c:pt>
                <c:pt idx="2">
                  <c:v>12362</c:v>
                </c:pt>
                <c:pt idx="3">
                  <c:v>13554</c:v>
                </c:pt>
                <c:pt idx="4">
                  <c:v>13904</c:v>
                </c:pt>
              </c:numCache>
            </c:numRef>
          </c:val>
        </c:ser>
        <c:ser>
          <c:idx val="1"/>
          <c:order val="1"/>
          <c:tx>
            <c:strRef>
              <c:f>'Graf 2018'!$C$87</c:f>
              <c:strCache>
                <c:ptCount val="1"/>
                <c:pt idx="0">
                  <c:v>Soja 1ra</c:v>
                </c:pt>
              </c:strCache>
            </c:strRef>
          </c:tx>
          <c:spPr>
            <a:solidFill>
              <a:srgbClr val="339966"/>
            </a:solidFill>
            <a:ln w="12700">
              <a:solidFill>
                <a:srgbClr val="000000"/>
              </a:solidFill>
              <a:prstDash val="solid"/>
            </a:ln>
          </c:spPr>
          <c:invertIfNegative val="0"/>
          <c:cat>
            <c:strRef>
              <c:f>'Graf 2018'!$D$85:$H$85</c:f>
              <c:strCache>
                <c:ptCount val="5"/>
                <c:pt idx="0">
                  <c:v>Testigo</c:v>
                </c:pt>
                <c:pt idx="1">
                  <c:v>TUA</c:v>
                </c:pt>
                <c:pt idx="2">
                  <c:v>Rep PS</c:v>
                </c:pt>
                <c:pt idx="3">
                  <c:v>Rep PS AR</c:v>
                </c:pt>
                <c:pt idx="4">
                  <c:v>Reconstrucción</c:v>
                </c:pt>
              </c:strCache>
            </c:strRef>
          </c:cat>
          <c:val>
            <c:numRef>
              <c:f>'Graf 2018'!$D$87:$H$87</c:f>
              <c:numCache>
                <c:formatCode>General</c:formatCode>
                <c:ptCount val="5"/>
                <c:pt idx="0">
                  <c:v>4109</c:v>
                </c:pt>
                <c:pt idx="1">
                  <c:v>4719</c:v>
                </c:pt>
                <c:pt idx="2">
                  <c:v>4735</c:v>
                </c:pt>
                <c:pt idx="3">
                  <c:v>4742</c:v>
                </c:pt>
                <c:pt idx="4">
                  <c:v>5294</c:v>
                </c:pt>
              </c:numCache>
            </c:numRef>
          </c:val>
        </c:ser>
        <c:ser>
          <c:idx val="2"/>
          <c:order val="2"/>
          <c:tx>
            <c:strRef>
              <c:f>'Graf 2018'!$C$88</c:f>
              <c:strCache>
                <c:ptCount val="1"/>
                <c:pt idx="0">
                  <c:v>Trigo</c:v>
                </c:pt>
              </c:strCache>
            </c:strRef>
          </c:tx>
          <c:spPr>
            <a:gradFill rotWithShape="0">
              <a:gsLst>
                <a:gs pos="0">
                  <a:srgbClr val="FFCC00"/>
                </a:gs>
                <a:gs pos="50000">
                  <a:srgbClr xmlns:mc="http://schemas.openxmlformats.org/markup-compatibility/2006" xmlns:a14="http://schemas.microsoft.com/office/drawing/2010/main" val="FFFFFF" mc:Ignorable="a14" a14:legacySpreadsheetColorIndex="51">
                    <a:gamma/>
                    <a:tint val="33725"/>
                    <a:invGamma/>
                  </a:srgbClr>
                </a:gs>
                <a:gs pos="100000">
                  <a:srgbClr xmlns:mc="http://schemas.openxmlformats.org/markup-compatibility/2006" xmlns:a14="http://schemas.microsoft.com/office/drawing/2010/main" val="FFCC00" mc:Ignorable="a14" a14:legacySpreadsheetColorIndex="51"/>
                </a:gs>
              </a:gsLst>
              <a:lin ang="0" scaled="1"/>
            </a:gradFill>
            <a:ln w="12700">
              <a:solidFill>
                <a:srgbClr val="000000"/>
              </a:solidFill>
              <a:prstDash val="solid"/>
            </a:ln>
          </c:spPr>
          <c:invertIfNegative val="0"/>
          <c:cat>
            <c:strRef>
              <c:f>'Graf 2018'!$D$85:$H$85</c:f>
              <c:strCache>
                <c:ptCount val="5"/>
                <c:pt idx="0">
                  <c:v>Testigo</c:v>
                </c:pt>
                <c:pt idx="1">
                  <c:v>TUA</c:v>
                </c:pt>
                <c:pt idx="2">
                  <c:v>Rep PS</c:v>
                </c:pt>
                <c:pt idx="3">
                  <c:v>Rep PS AR</c:v>
                </c:pt>
                <c:pt idx="4">
                  <c:v>Reconstrucción</c:v>
                </c:pt>
              </c:strCache>
            </c:strRef>
          </c:cat>
          <c:val>
            <c:numRef>
              <c:f>'Graf 2018'!$D$88:$H$88</c:f>
              <c:numCache>
                <c:formatCode>General</c:formatCode>
                <c:ptCount val="5"/>
                <c:pt idx="0">
                  <c:v>2151</c:v>
                </c:pt>
                <c:pt idx="1">
                  <c:v>2660</c:v>
                </c:pt>
                <c:pt idx="2">
                  <c:v>2716</c:v>
                </c:pt>
                <c:pt idx="3">
                  <c:v>2921</c:v>
                </c:pt>
                <c:pt idx="4">
                  <c:v>3195</c:v>
                </c:pt>
              </c:numCache>
            </c:numRef>
          </c:val>
        </c:ser>
        <c:ser>
          <c:idx val="3"/>
          <c:order val="3"/>
          <c:tx>
            <c:strRef>
              <c:f>'Graf 2018'!$C$89</c:f>
              <c:strCache>
                <c:ptCount val="1"/>
                <c:pt idx="0">
                  <c:v>Soja 2da</c:v>
                </c:pt>
              </c:strCache>
            </c:strRef>
          </c:tx>
          <c:spPr>
            <a:solidFill>
              <a:srgbClr val="3366FF"/>
            </a:solidFill>
            <a:ln w="12700">
              <a:solidFill>
                <a:srgbClr val="000000"/>
              </a:solidFill>
              <a:prstDash val="solid"/>
            </a:ln>
          </c:spPr>
          <c:invertIfNegative val="0"/>
          <c:cat>
            <c:strRef>
              <c:f>'Graf 2018'!$D$85:$H$85</c:f>
              <c:strCache>
                <c:ptCount val="5"/>
                <c:pt idx="0">
                  <c:v>Testigo</c:v>
                </c:pt>
                <c:pt idx="1">
                  <c:v>TUA</c:v>
                </c:pt>
                <c:pt idx="2">
                  <c:v>Rep PS</c:v>
                </c:pt>
                <c:pt idx="3">
                  <c:v>Rep PS AR</c:v>
                </c:pt>
                <c:pt idx="4">
                  <c:v>Reconstrucción</c:v>
                </c:pt>
              </c:strCache>
            </c:strRef>
          </c:cat>
          <c:val>
            <c:numRef>
              <c:f>'Graf 2018'!$D$89:$H$89</c:f>
              <c:numCache>
                <c:formatCode>General</c:formatCode>
                <c:ptCount val="5"/>
                <c:pt idx="0">
                  <c:v>692</c:v>
                </c:pt>
                <c:pt idx="1">
                  <c:v>681</c:v>
                </c:pt>
                <c:pt idx="2">
                  <c:v>916</c:v>
                </c:pt>
                <c:pt idx="3">
                  <c:v>1032</c:v>
                </c:pt>
                <c:pt idx="4">
                  <c:v>1212</c:v>
                </c:pt>
              </c:numCache>
            </c:numRef>
          </c:val>
        </c:ser>
        <c:ser>
          <c:idx val="4"/>
          <c:order val="4"/>
          <c:tx>
            <c:strRef>
              <c:f>'Graf 2018'!$C$90</c:f>
              <c:strCache>
                <c:ptCount val="1"/>
                <c:pt idx="0">
                  <c:v>Cebada</c:v>
                </c:pt>
              </c:strCache>
            </c:strRef>
          </c:tx>
          <c:spPr>
            <a:solidFill>
              <a:srgbClr val="FFFF99"/>
            </a:solidFill>
            <a:ln w="12700">
              <a:solidFill>
                <a:srgbClr val="000000"/>
              </a:solidFill>
              <a:prstDash val="solid"/>
            </a:ln>
          </c:spPr>
          <c:invertIfNegative val="0"/>
          <c:cat>
            <c:strRef>
              <c:f>'Graf 2018'!$D$85:$H$85</c:f>
              <c:strCache>
                <c:ptCount val="5"/>
                <c:pt idx="0">
                  <c:v>Testigo</c:v>
                </c:pt>
                <c:pt idx="1">
                  <c:v>TUA</c:v>
                </c:pt>
                <c:pt idx="2">
                  <c:v>Rep PS</c:v>
                </c:pt>
                <c:pt idx="3">
                  <c:v>Rep PS AR</c:v>
                </c:pt>
                <c:pt idx="4">
                  <c:v>Reconstrucción</c:v>
                </c:pt>
              </c:strCache>
            </c:strRef>
          </c:cat>
          <c:val>
            <c:numRef>
              <c:f>'Graf 2018'!$D$90:$H$90</c:f>
              <c:numCache>
                <c:formatCode>General</c:formatCode>
                <c:ptCount val="5"/>
                <c:pt idx="0">
                  <c:v>3142</c:v>
                </c:pt>
                <c:pt idx="1">
                  <c:v>3730</c:v>
                </c:pt>
                <c:pt idx="2">
                  <c:v>4256</c:v>
                </c:pt>
                <c:pt idx="3">
                  <c:v>4071</c:v>
                </c:pt>
                <c:pt idx="4">
                  <c:v>4290</c:v>
                </c:pt>
              </c:numCache>
            </c:numRef>
          </c:val>
        </c:ser>
        <c:ser>
          <c:idx val="5"/>
          <c:order val="5"/>
          <c:tx>
            <c:strRef>
              <c:f>'Graf 2018'!$C$91</c:f>
              <c:strCache>
                <c:ptCount val="1"/>
                <c:pt idx="0">
                  <c:v>Soja 2da</c:v>
                </c:pt>
              </c:strCache>
            </c:strRef>
          </c:tx>
          <c:spPr>
            <a:solidFill>
              <a:srgbClr val="3366FF"/>
            </a:solidFill>
            <a:ln w="12700">
              <a:solidFill>
                <a:srgbClr val="000000"/>
              </a:solidFill>
              <a:prstDash val="solid"/>
            </a:ln>
          </c:spPr>
          <c:invertIfNegative val="0"/>
          <c:cat>
            <c:strRef>
              <c:f>'Graf 2018'!$D$85:$H$85</c:f>
              <c:strCache>
                <c:ptCount val="5"/>
                <c:pt idx="0">
                  <c:v>Testigo</c:v>
                </c:pt>
                <c:pt idx="1">
                  <c:v>TUA</c:v>
                </c:pt>
                <c:pt idx="2">
                  <c:v>Rep PS</c:v>
                </c:pt>
                <c:pt idx="3">
                  <c:v>Rep PS AR</c:v>
                </c:pt>
                <c:pt idx="4">
                  <c:v>Reconstrucción</c:v>
                </c:pt>
              </c:strCache>
            </c:strRef>
          </c:cat>
          <c:val>
            <c:numRef>
              <c:f>'Graf 2018'!$D$91:$H$91</c:f>
              <c:numCache>
                <c:formatCode>General</c:formatCode>
                <c:ptCount val="5"/>
                <c:pt idx="0">
                  <c:v>2229</c:v>
                </c:pt>
                <c:pt idx="1">
                  <c:v>2605</c:v>
                </c:pt>
                <c:pt idx="2">
                  <c:v>2700</c:v>
                </c:pt>
                <c:pt idx="3">
                  <c:v>3012</c:v>
                </c:pt>
                <c:pt idx="4">
                  <c:v>2655</c:v>
                </c:pt>
              </c:numCache>
            </c:numRef>
          </c:val>
        </c:ser>
        <c:ser>
          <c:idx val="6"/>
          <c:order val="6"/>
          <c:tx>
            <c:strRef>
              <c:f>'Graf 2018'!$C$92</c:f>
              <c:strCache>
                <c:ptCount val="1"/>
                <c:pt idx="0">
                  <c:v>Maíz</c:v>
                </c:pt>
              </c:strCache>
            </c:strRef>
          </c:tx>
          <c:spPr>
            <a:solidFill>
              <a:srgbClr val="FF6600"/>
            </a:solidFill>
            <a:ln w="12700">
              <a:solidFill>
                <a:srgbClr val="000000"/>
              </a:solidFill>
              <a:prstDash val="solid"/>
            </a:ln>
          </c:spPr>
          <c:invertIfNegative val="0"/>
          <c:cat>
            <c:strRef>
              <c:f>'Graf 2018'!$D$85:$H$85</c:f>
              <c:strCache>
                <c:ptCount val="5"/>
                <c:pt idx="0">
                  <c:v>Testigo</c:v>
                </c:pt>
                <c:pt idx="1">
                  <c:v>TUA</c:v>
                </c:pt>
                <c:pt idx="2">
                  <c:v>Rep PS</c:v>
                </c:pt>
                <c:pt idx="3">
                  <c:v>Rep PS AR</c:v>
                </c:pt>
                <c:pt idx="4">
                  <c:v>Reconstrucción</c:v>
                </c:pt>
              </c:strCache>
            </c:strRef>
          </c:cat>
          <c:val>
            <c:numRef>
              <c:f>'Graf 2018'!$D$92:$H$92</c:f>
              <c:numCache>
                <c:formatCode>0</c:formatCode>
                <c:ptCount val="5"/>
                <c:pt idx="0">
                  <c:v>8312.5</c:v>
                </c:pt>
                <c:pt idx="1">
                  <c:v>11341.95</c:v>
                </c:pt>
                <c:pt idx="2">
                  <c:v>14071</c:v>
                </c:pt>
                <c:pt idx="3">
                  <c:v>14158.4</c:v>
                </c:pt>
                <c:pt idx="4">
                  <c:v>15034.8</c:v>
                </c:pt>
              </c:numCache>
            </c:numRef>
          </c:val>
        </c:ser>
        <c:ser>
          <c:idx val="7"/>
          <c:order val="7"/>
          <c:tx>
            <c:strRef>
              <c:f>'Graf 2018'!$C$93</c:f>
              <c:strCache>
                <c:ptCount val="1"/>
                <c:pt idx="0">
                  <c:v>Soja 1ra</c:v>
                </c:pt>
              </c:strCache>
            </c:strRef>
          </c:tx>
          <c:spPr>
            <a:solidFill>
              <a:srgbClr val="339966"/>
            </a:solidFill>
            <a:ln w="12700">
              <a:solidFill>
                <a:srgbClr val="000000"/>
              </a:solidFill>
              <a:prstDash val="solid"/>
            </a:ln>
          </c:spPr>
          <c:invertIfNegative val="0"/>
          <c:cat>
            <c:strRef>
              <c:f>'Graf 2018'!$D$85:$H$85</c:f>
              <c:strCache>
                <c:ptCount val="5"/>
                <c:pt idx="0">
                  <c:v>Testigo</c:v>
                </c:pt>
                <c:pt idx="1">
                  <c:v>TUA</c:v>
                </c:pt>
                <c:pt idx="2">
                  <c:v>Rep PS</c:v>
                </c:pt>
                <c:pt idx="3">
                  <c:v>Rep PS AR</c:v>
                </c:pt>
                <c:pt idx="4">
                  <c:v>Reconstrucción</c:v>
                </c:pt>
              </c:strCache>
            </c:strRef>
          </c:cat>
          <c:val>
            <c:numRef>
              <c:f>'Graf 2018'!$D$93:$H$93</c:f>
              <c:numCache>
                <c:formatCode>0</c:formatCode>
                <c:ptCount val="5"/>
                <c:pt idx="0">
                  <c:v>2668.5714285714284</c:v>
                </c:pt>
                <c:pt idx="1">
                  <c:v>4138.333333333333</c:v>
                </c:pt>
                <c:pt idx="2">
                  <c:v>4599.5238095238092</c:v>
                </c:pt>
                <c:pt idx="3">
                  <c:v>4688.0952380952385</c:v>
                </c:pt>
                <c:pt idx="4">
                  <c:v>4829.0476190476184</c:v>
                </c:pt>
              </c:numCache>
            </c:numRef>
          </c:val>
        </c:ser>
        <c:ser>
          <c:idx val="8"/>
          <c:order val="8"/>
          <c:tx>
            <c:v>Cebada</c:v>
          </c:tx>
          <c:spPr>
            <a:solidFill>
              <a:srgbClr val="FFFF99"/>
            </a:solidFill>
            <a:ln w="12700">
              <a:solidFill>
                <a:schemeClr val="tx1"/>
              </a:solidFill>
            </a:ln>
          </c:spPr>
          <c:invertIfNegative val="0"/>
          <c:cat>
            <c:strRef>
              <c:f>'Graf 2018'!$D$85:$H$85</c:f>
              <c:strCache>
                <c:ptCount val="5"/>
                <c:pt idx="0">
                  <c:v>Testigo</c:v>
                </c:pt>
                <c:pt idx="1">
                  <c:v>TUA</c:v>
                </c:pt>
                <c:pt idx="2">
                  <c:v>Rep PS</c:v>
                </c:pt>
                <c:pt idx="3">
                  <c:v>Rep PS AR</c:v>
                </c:pt>
                <c:pt idx="4">
                  <c:v>Reconstrucción</c:v>
                </c:pt>
              </c:strCache>
            </c:strRef>
          </c:cat>
          <c:val>
            <c:numRef>
              <c:f>'Graf 2018'!$D$94:$H$94</c:f>
              <c:numCache>
                <c:formatCode>0.0</c:formatCode>
                <c:ptCount val="5"/>
                <c:pt idx="0">
                  <c:v>2009.2261904761906</c:v>
                </c:pt>
                <c:pt idx="1">
                  <c:v>3182.4404761904766</c:v>
                </c:pt>
                <c:pt idx="2">
                  <c:v>3308.3333333333335</c:v>
                </c:pt>
                <c:pt idx="3">
                  <c:v>3606.3452380952376</c:v>
                </c:pt>
                <c:pt idx="4">
                  <c:v>3643.4416666666666</c:v>
                </c:pt>
              </c:numCache>
            </c:numRef>
          </c:val>
        </c:ser>
        <c:ser>
          <c:idx val="9"/>
          <c:order val="9"/>
          <c:tx>
            <c:v>Soja 2da</c:v>
          </c:tx>
          <c:spPr>
            <a:solidFill>
              <a:srgbClr val="0066FF"/>
            </a:solidFill>
            <a:ln>
              <a:solidFill>
                <a:schemeClr val="tx1"/>
              </a:solidFill>
            </a:ln>
          </c:spPr>
          <c:invertIfNegative val="0"/>
          <c:cat>
            <c:strRef>
              <c:f>'Graf 2018'!$D$85:$H$85</c:f>
              <c:strCache>
                <c:ptCount val="5"/>
                <c:pt idx="0">
                  <c:v>Testigo</c:v>
                </c:pt>
                <c:pt idx="1">
                  <c:v>TUA</c:v>
                </c:pt>
                <c:pt idx="2">
                  <c:v>Rep PS</c:v>
                </c:pt>
                <c:pt idx="3">
                  <c:v>Rep PS AR</c:v>
                </c:pt>
                <c:pt idx="4">
                  <c:v>Reconstrucción</c:v>
                </c:pt>
              </c:strCache>
            </c:strRef>
          </c:cat>
          <c:val>
            <c:numRef>
              <c:f>'Graf 2018'!$D$95:$H$95</c:f>
              <c:numCache>
                <c:formatCode>0</c:formatCode>
                <c:ptCount val="5"/>
                <c:pt idx="0">
                  <c:v>2309.8000000000002</c:v>
                </c:pt>
                <c:pt idx="1">
                  <c:v>2848</c:v>
                </c:pt>
                <c:pt idx="2">
                  <c:v>3905.7</c:v>
                </c:pt>
                <c:pt idx="3">
                  <c:v>3707.1</c:v>
                </c:pt>
                <c:pt idx="4">
                  <c:v>3894.9</c:v>
                </c:pt>
              </c:numCache>
            </c:numRef>
          </c:val>
        </c:ser>
        <c:ser>
          <c:idx val="10"/>
          <c:order val="10"/>
          <c:tx>
            <c:v>Trigo</c:v>
          </c:tx>
          <c:spPr>
            <a:gradFill>
              <a:gsLst>
                <a:gs pos="0">
                  <a:srgbClr val="FFCC00"/>
                </a:gs>
                <a:gs pos="50000">
                  <a:srgbClr xmlns:mc="http://schemas.openxmlformats.org/markup-compatibility/2006" xmlns:a14="http://schemas.microsoft.com/office/drawing/2010/main" val="FFFFFF" mc:Ignorable="a14" a14:legacySpreadsheetColorIndex="51">
                    <a:gamma/>
                    <a:tint val="33725"/>
                    <a:invGamma/>
                  </a:srgbClr>
                </a:gs>
                <a:gs pos="100000">
                  <a:srgbClr xmlns:mc="http://schemas.openxmlformats.org/markup-compatibility/2006" xmlns:a14="http://schemas.microsoft.com/office/drawing/2010/main" val="FFCC00" mc:Ignorable="a14" a14:legacySpreadsheetColorIndex="51"/>
                </a:gs>
              </a:gsLst>
              <a:lin ang="0" scaled="1"/>
            </a:gradFill>
            <a:ln>
              <a:solidFill>
                <a:sysClr val="windowText" lastClr="000000"/>
              </a:solidFill>
            </a:ln>
          </c:spPr>
          <c:invertIfNegative val="0"/>
          <c:cat>
            <c:strRef>
              <c:f>'Graf 2018'!$D$85:$H$85</c:f>
              <c:strCache>
                <c:ptCount val="5"/>
                <c:pt idx="0">
                  <c:v>Testigo</c:v>
                </c:pt>
                <c:pt idx="1">
                  <c:v>TUA</c:v>
                </c:pt>
                <c:pt idx="2">
                  <c:v>Rep PS</c:v>
                </c:pt>
                <c:pt idx="3">
                  <c:v>Rep PS AR</c:v>
                </c:pt>
                <c:pt idx="4">
                  <c:v>Reconstrucción</c:v>
                </c:pt>
              </c:strCache>
            </c:strRef>
          </c:cat>
          <c:val>
            <c:numRef>
              <c:f>'Graf 2018'!$D$96:$H$96</c:f>
              <c:numCache>
                <c:formatCode>General</c:formatCode>
                <c:ptCount val="5"/>
                <c:pt idx="0">
                  <c:v>2187.5</c:v>
                </c:pt>
                <c:pt idx="1">
                  <c:v>2975</c:v>
                </c:pt>
                <c:pt idx="2">
                  <c:v>3712.5</c:v>
                </c:pt>
                <c:pt idx="3">
                  <c:v>3987.5</c:v>
                </c:pt>
                <c:pt idx="4">
                  <c:v>4662.5</c:v>
                </c:pt>
              </c:numCache>
            </c:numRef>
          </c:val>
        </c:ser>
        <c:ser>
          <c:idx val="11"/>
          <c:order val="11"/>
          <c:tx>
            <c:v>Soja 2da</c:v>
          </c:tx>
          <c:spPr>
            <a:solidFill>
              <a:srgbClr val="0066FF"/>
            </a:solidFill>
            <a:ln>
              <a:solidFill>
                <a:schemeClr val="tx1"/>
              </a:solidFill>
            </a:ln>
          </c:spPr>
          <c:invertIfNegative val="0"/>
          <c:cat>
            <c:strRef>
              <c:f>'Graf 2018'!$D$85:$H$85</c:f>
              <c:strCache>
                <c:ptCount val="5"/>
                <c:pt idx="0">
                  <c:v>Testigo</c:v>
                </c:pt>
                <c:pt idx="1">
                  <c:v>TUA</c:v>
                </c:pt>
                <c:pt idx="2">
                  <c:v>Rep PS</c:v>
                </c:pt>
                <c:pt idx="3">
                  <c:v>Rep PS AR</c:v>
                </c:pt>
                <c:pt idx="4">
                  <c:v>Reconstrucción</c:v>
                </c:pt>
              </c:strCache>
            </c:strRef>
          </c:cat>
          <c:val>
            <c:numRef>
              <c:f>'Graf 2018'!$D$97:$H$97</c:f>
              <c:numCache>
                <c:formatCode>General</c:formatCode>
                <c:ptCount val="5"/>
                <c:pt idx="0">
                  <c:v>2309</c:v>
                </c:pt>
                <c:pt idx="1">
                  <c:v>2846.5</c:v>
                </c:pt>
                <c:pt idx="2">
                  <c:v>3123.25</c:v>
                </c:pt>
                <c:pt idx="3">
                  <c:v>3505</c:v>
                </c:pt>
                <c:pt idx="4">
                  <c:v>3383</c:v>
                </c:pt>
              </c:numCache>
            </c:numRef>
          </c:val>
        </c:ser>
        <c:ser>
          <c:idx val="12"/>
          <c:order val="12"/>
          <c:tx>
            <c:v>Soja 1ra</c:v>
          </c:tx>
          <c:spPr>
            <a:solidFill>
              <a:srgbClr val="339966"/>
            </a:solidFill>
            <a:ln>
              <a:solidFill>
                <a:schemeClr val="tx1"/>
              </a:solidFill>
            </a:ln>
          </c:spPr>
          <c:invertIfNegative val="0"/>
          <c:val>
            <c:numRef>
              <c:f>'Graf 2018'!$D$98:$H$98</c:f>
              <c:numCache>
                <c:formatCode>0</c:formatCode>
                <c:ptCount val="5"/>
                <c:pt idx="0">
                  <c:v>3188</c:v>
                </c:pt>
                <c:pt idx="1">
                  <c:v>3120.2</c:v>
                </c:pt>
                <c:pt idx="2">
                  <c:v>4027.2</c:v>
                </c:pt>
                <c:pt idx="3">
                  <c:v>4246.66</c:v>
                </c:pt>
                <c:pt idx="4">
                  <c:v>4416.3999999999996</c:v>
                </c:pt>
              </c:numCache>
            </c:numRef>
          </c:val>
        </c:ser>
        <c:ser>
          <c:idx val="13"/>
          <c:order val="13"/>
          <c:tx>
            <c:v>Cebada</c:v>
          </c:tx>
          <c:spPr>
            <a:solidFill>
              <a:srgbClr val="FFFF99"/>
            </a:solidFill>
            <a:ln>
              <a:solidFill>
                <a:schemeClr val="tx1"/>
              </a:solidFill>
            </a:ln>
          </c:spPr>
          <c:invertIfNegative val="0"/>
          <c:val>
            <c:numRef>
              <c:f>'Graf 2018'!$D$99:$H$99</c:f>
              <c:numCache>
                <c:formatCode>0</c:formatCode>
                <c:ptCount val="5"/>
                <c:pt idx="0">
                  <c:v>2685.7142857142862</c:v>
                </c:pt>
                <c:pt idx="1">
                  <c:v>4588.0952380952385</c:v>
                </c:pt>
                <c:pt idx="2">
                  <c:v>5765.4761904761908</c:v>
                </c:pt>
                <c:pt idx="3">
                  <c:v>5926.7857142857147</c:v>
                </c:pt>
                <c:pt idx="4">
                  <c:v>5723.2142857142862</c:v>
                </c:pt>
              </c:numCache>
            </c:numRef>
          </c:val>
        </c:ser>
        <c:ser>
          <c:idx val="14"/>
          <c:order val="14"/>
          <c:tx>
            <c:v>Soja 2da</c:v>
          </c:tx>
          <c:spPr>
            <a:solidFill>
              <a:srgbClr val="0066FF"/>
            </a:solidFill>
            <a:ln>
              <a:solidFill>
                <a:schemeClr val="tx1"/>
              </a:solidFill>
            </a:ln>
          </c:spPr>
          <c:invertIfNegative val="0"/>
          <c:val>
            <c:numRef>
              <c:f>'Graf 2018'!$D$100:$H$100</c:f>
              <c:numCache>
                <c:formatCode>0</c:formatCode>
                <c:ptCount val="5"/>
                <c:pt idx="0">
                  <c:v>2294.791666666667</c:v>
                </c:pt>
                <c:pt idx="1">
                  <c:v>3349.7023809523816</c:v>
                </c:pt>
                <c:pt idx="2">
                  <c:v>4512.7976190476193</c:v>
                </c:pt>
                <c:pt idx="3">
                  <c:v>5057.7380952380954</c:v>
                </c:pt>
                <c:pt idx="4">
                  <c:v>5475.5952380952385</c:v>
                </c:pt>
              </c:numCache>
            </c:numRef>
          </c:val>
        </c:ser>
        <c:ser>
          <c:idx val="15"/>
          <c:order val="15"/>
          <c:tx>
            <c:v>Maíz</c:v>
          </c:tx>
          <c:spPr>
            <a:solidFill>
              <a:srgbClr val="FF6600"/>
            </a:solidFill>
            <a:ln>
              <a:solidFill>
                <a:sysClr val="windowText" lastClr="000000"/>
              </a:solidFill>
            </a:ln>
          </c:spPr>
          <c:invertIfNegative val="0"/>
          <c:val>
            <c:numRef>
              <c:f>'Graf 2018'!$D$101:$H$101</c:f>
              <c:numCache>
                <c:formatCode>0</c:formatCode>
                <c:ptCount val="5"/>
                <c:pt idx="0">
                  <c:v>6834.1500000000005</c:v>
                </c:pt>
                <c:pt idx="1">
                  <c:v>11050.65</c:v>
                </c:pt>
                <c:pt idx="2">
                  <c:v>13967.5</c:v>
                </c:pt>
                <c:pt idx="3">
                  <c:v>14162.85</c:v>
                </c:pt>
                <c:pt idx="4">
                  <c:v>16295.85</c:v>
                </c:pt>
              </c:numCache>
            </c:numRef>
          </c:val>
        </c:ser>
        <c:ser>
          <c:idx val="16"/>
          <c:order val="16"/>
          <c:tx>
            <c:v>Soja 1ra</c:v>
          </c:tx>
          <c:spPr>
            <a:solidFill>
              <a:srgbClr val="339966"/>
            </a:solidFill>
            <a:ln>
              <a:solidFill>
                <a:schemeClr val="tx1"/>
              </a:solidFill>
            </a:ln>
          </c:spPr>
          <c:invertIfNegative val="0"/>
          <c:val>
            <c:numRef>
              <c:f>'Graf 2018'!$D$102:$H$102</c:f>
              <c:numCache>
                <c:formatCode>0</c:formatCode>
                <c:ptCount val="5"/>
                <c:pt idx="0">
                  <c:v>3520.6547619047624</c:v>
                </c:pt>
                <c:pt idx="1">
                  <c:v>4297.8571428571431</c:v>
                </c:pt>
                <c:pt idx="2">
                  <c:v>4334.8511904761908</c:v>
                </c:pt>
                <c:pt idx="3">
                  <c:v>4780.4166666666679</c:v>
                </c:pt>
                <c:pt idx="4">
                  <c:v>4839.0178571428578</c:v>
                </c:pt>
              </c:numCache>
            </c:numRef>
          </c:val>
        </c:ser>
        <c:ser>
          <c:idx val="17"/>
          <c:order val="17"/>
          <c:tx>
            <c:v>Trigo</c:v>
          </c:tx>
          <c:spPr>
            <a:gradFill flip="none" rotWithShape="1">
              <a:gsLst>
                <a:gs pos="0">
                  <a:srgbClr val="FFC000"/>
                </a:gs>
                <a:gs pos="71000">
                  <a:srgbClr val="FFFF99"/>
                </a:gs>
                <a:gs pos="27000">
                  <a:srgbClr val="FFFF99"/>
                </a:gs>
                <a:gs pos="100000">
                  <a:srgbClr val="FFC000"/>
                </a:gs>
              </a:gsLst>
              <a:lin ang="10800000" scaled="1"/>
              <a:tileRect/>
            </a:gradFill>
            <a:ln>
              <a:solidFill>
                <a:schemeClr val="tx1"/>
              </a:solidFill>
            </a:ln>
          </c:spPr>
          <c:invertIfNegative val="0"/>
          <c:val>
            <c:numRef>
              <c:f>'Graf 2018'!$D$103:$H$103</c:f>
              <c:numCache>
                <c:formatCode>0</c:formatCode>
                <c:ptCount val="5"/>
                <c:pt idx="0">
                  <c:v>3260.7142857142862</c:v>
                </c:pt>
                <c:pt idx="1">
                  <c:v>5202.1428571428578</c:v>
                </c:pt>
                <c:pt idx="2">
                  <c:v>5852.1428571428578</c:v>
                </c:pt>
                <c:pt idx="3">
                  <c:v>6404.2857142857147</c:v>
                </c:pt>
                <c:pt idx="4">
                  <c:v>6600.0000000000009</c:v>
                </c:pt>
              </c:numCache>
            </c:numRef>
          </c:val>
        </c:ser>
        <c:ser>
          <c:idx val="18"/>
          <c:order val="18"/>
          <c:tx>
            <c:v>Soja 2da</c:v>
          </c:tx>
          <c:spPr>
            <a:solidFill>
              <a:srgbClr val="0066FF"/>
            </a:solidFill>
            <a:ln>
              <a:solidFill>
                <a:schemeClr val="tx1"/>
              </a:solidFill>
            </a:ln>
          </c:spPr>
          <c:invertIfNegative val="0"/>
          <c:val>
            <c:numRef>
              <c:f>'Graf 2018'!$D$104:$H$104</c:f>
              <c:numCache>
                <c:formatCode>0</c:formatCode>
                <c:ptCount val="5"/>
                <c:pt idx="0">
                  <c:v>2838.0952380952381</c:v>
                </c:pt>
                <c:pt idx="1">
                  <c:v>2727.7777777777778</c:v>
                </c:pt>
                <c:pt idx="2">
                  <c:v>4053.5714285714289</c:v>
                </c:pt>
                <c:pt idx="3">
                  <c:v>3779.7619047619055</c:v>
                </c:pt>
                <c:pt idx="4">
                  <c:v>4857.936507936508</c:v>
                </c:pt>
              </c:numCache>
            </c:numRef>
          </c:val>
        </c:ser>
        <c:ser>
          <c:idx val="19"/>
          <c:order val="19"/>
          <c:tx>
            <c:v>Maíz</c:v>
          </c:tx>
          <c:spPr>
            <a:solidFill>
              <a:srgbClr val="FF6600"/>
            </a:solidFill>
            <a:ln>
              <a:solidFill>
                <a:schemeClr val="tx1"/>
              </a:solidFill>
            </a:ln>
          </c:spPr>
          <c:invertIfNegative val="0"/>
          <c:dLbls>
            <c:spPr>
              <a:noFill/>
              <a:ln>
                <a:noFill/>
              </a:ln>
              <a:effectLst/>
            </c:spPr>
            <c:txPr>
              <a:bodyPr wrap="square" lIns="38100" tIns="19050" rIns="38100" bIns="19050" anchor="ctr">
                <a:spAutoFit/>
              </a:bodyPr>
              <a:lstStyle/>
              <a:p>
                <a:pPr>
                  <a:defRPr>
                    <a:solidFill>
                      <a:schemeClr val="tx1"/>
                    </a:solidFill>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'Graf 2018'!$D$105:$H$105</c:f>
              <c:numCache>
                <c:formatCode>0</c:formatCode>
                <c:ptCount val="5"/>
                <c:pt idx="0">
                  <c:v>6915</c:v>
                </c:pt>
                <c:pt idx="1">
                  <c:v>9751</c:v>
                </c:pt>
                <c:pt idx="2">
                  <c:v>10898.75</c:v>
                </c:pt>
                <c:pt idx="3">
                  <c:v>12892.75</c:v>
                </c:pt>
                <c:pt idx="4">
                  <c:v>15041.5</c:v>
                </c:pt>
              </c:numCache>
            </c:numRef>
          </c:val>
        </c:ser>
        <c:dLbls>
          <c:showLegendKey val="0"/>
          <c:showVal val="0"/>
          <c:showCatName val="0"/>
          <c:showSerName val="0"/>
          <c:showPercent val="0"/>
          <c:showBubbleSize val="0"/>
        </c:dLbls>
        <c:gapWidth val="150"/>
        <c:overlap val="100"/>
        <c:axId val="457694208"/>
        <c:axId val="457694768"/>
      </c:barChart>
      <c:catAx>
        <c:axId val="457694208"/>
        <c:scaling>
          <c:orientation val="minMax"/>
        </c:scaling>
        <c:delete val="0"/>
        <c:axPos val="b"/>
        <c:title>
          <c:tx>
            <c:rich>
              <a:bodyPr/>
              <a:lstStyle/>
              <a:p>
                <a:pPr>
                  <a:defRPr sz="1100" b="1" i="0" u="none" strike="noStrike" baseline="0">
                    <a:solidFill>
                      <a:srgbClr val="000000"/>
                    </a:solidFill>
                    <a:latin typeface="Arial" panose="020B0604020202020204" pitchFamily="34" charset="0"/>
                    <a:ea typeface="Arial"/>
                    <a:cs typeface="Arial" panose="020B0604020202020204" pitchFamily="34" charset="0"/>
                  </a:defRPr>
                </a:pPr>
                <a:r>
                  <a:rPr lang="es-AR" sz="1100">
                    <a:latin typeface="Arial" panose="020B0604020202020204" pitchFamily="34" charset="0"/>
                    <a:cs typeface="Arial" panose="020B0604020202020204" pitchFamily="34" charset="0"/>
                  </a:rPr>
                  <a:t>Estrategia de Fertilización</a:t>
                </a:r>
              </a:p>
            </c:rich>
          </c:tx>
          <c:layout>
            <c:manualLayout>
              <c:xMode val="edge"/>
              <c:yMode val="edge"/>
              <c:x val="0.40549859102663716"/>
              <c:y val="0.91961210600887267"/>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100" b="1" i="0" u="none" strike="noStrike" baseline="0">
                <a:solidFill>
                  <a:srgbClr val="000000"/>
                </a:solidFill>
                <a:latin typeface="Arial" panose="020B0604020202020204" pitchFamily="34" charset="0"/>
                <a:ea typeface="Times New Roman"/>
                <a:cs typeface="Arial" panose="020B0604020202020204" pitchFamily="34" charset="0"/>
              </a:defRPr>
            </a:pPr>
            <a:endParaRPr lang="es-ES"/>
          </a:p>
        </c:txPr>
        <c:crossAx val="457694768"/>
        <c:crosses val="autoZero"/>
        <c:auto val="1"/>
        <c:lblAlgn val="ctr"/>
        <c:lblOffset val="100"/>
        <c:tickLblSkip val="1"/>
        <c:tickMarkSkip val="1"/>
        <c:noMultiLvlLbl val="0"/>
      </c:catAx>
      <c:valAx>
        <c:axId val="457694768"/>
        <c:scaling>
          <c:orientation val="minMax"/>
          <c:max val="140000"/>
          <c:min val="0"/>
        </c:scaling>
        <c:delete val="0"/>
        <c:axPos val="l"/>
        <c:title>
          <c:tx>
            <c:rich>
              <a:bodyPr/>
              <a:lstStyle/>
              <a:p>
                <a:pPr>
                  <a:defRPr sz="1100" b="1" i="0" u="none" strike="noStrike" baseline="0">
                    <a:solidFill>
                      <a:srgbClr val="000000"/>
                    </a:solidFill>
                    <a:latin typeface="Arial" panose="020B0604020202020204" pitchFamily="34" charset="0"/>
                    <a:ea typeface="Times New Roman"/>
                    <a:cs typeface="Arial" panose="020B0604020202020204" pitchFamily="34" charset="0"/>
                  </a:defRPr>
                </a:pPr>
                <a:r>
                  <a:rPr lang="es-AR" sz="1100">
                    <a:latin typeface="Arial" panose="020B0604020202020204" pitchFamily="34" charset="0"/>
                    <a:cs typeface="Arial" panose="020B0604020202020204" pitchFamily="34" charset="0"/>
                  </a:rPr>
                  <a:t>Rendimiento (kg/ha)</a:t>
                </a:r>
              </a:p>
            </c:rich>
          </c:tx>
          <c:layout>
            <c:manualLayout>
              <c:xMode val="edge"/>
              <c:yMode val="edge"/>
              <c:x val="5.4000981836033381E-3"/>
              <c:y val="0.28074245939675174"/>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100" b="1" i="0" u="none" strike="noStrike" baseline="0">
                <a:solidFill>
                  <a:srgbClr val="000000"/>
                </a:solidFill>
                <a:latin typeface="Arial" panose="020B0604020202020204" pitchFamily="34" charset="0"/>
                <a:ea typeface="Times New Roman"/>
                <a:cs typeface="Arial" panose="020B0604020202020204" pitchFamily="34" charset="0"/>
              </a:defRPr>
            </a:pPr>
            <a:endParaRPr lang="es-ES"/>
          </a:p>
        </c:txPr>
        <c:crossAx val="457694208"/>
        <c:crosses val="autoZero"/>
        <c:crossBetween val="between"/>
        <c:majorUnit val="10000"/>
      </c:valAx>
      <c:spPr>
        <a:noFill/>
        <a:ln w="25400">
          <a:noFill/>
        </a:ln>
      </c:spPr>
    </c:plotArea>
    <c:legend>
      <c:legendPos val="b"/>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egendEntry>
        <c:idx val="12"/>
        <c:delete val="1"/>
      </c:legendEntry>
      <c:legendEntry>
        <c:idx val="13"/>
        <c:delete val="1"/>
      </c:legendEntry>
      <c:legendEntry>
        <c:idx val="14"/>
        <c:delete val="1"/>
      </c:legendEntry>
      <c:legendEntry>
        <c:idx val="15"/>
        <c:delete val="1"/>
      </c:legendEntry>
      <c:legendEntry>
        <c:idx val="16"/>
        <c:delete val="1"/>
      </c:legendEntry>
      <c:layout>
        <c:manualLayout>
          <c:xMode val="edge"/>
          <c:yMode val="edge"/>
          <c:x val="0.16838503434493368"/>
          <c:y val="3.3835770528683917E-2"/>
          <c:w val="0.76288644331829636"/>
          <c:h val="4.3115488776877188E-2"/>
        </c:manualLayout>
      </c:layout>
      <c:overlay val="0"/>
      <c:spPr>
        <a:noFill/>
        <a:ln w="25400">
          <a:noFill/>
        </a:ln>
      </c:spPr>
      <c:txPr>
        <a:bodyPr/>
        <a:lstStyle/>
        <a:p>
          <a:pPr>
            <a:defRPr sz="1050" b="1" i="0" u="none" strike="noStrike" baseline="0">
              <a:solidFill>
                <a:srgbClr val="000000"/>
              </a:solidFill>
              <a:latin typeface="Arial" panose="020B0604020202020204" pitchFamily="34" charset="0"/>
              <a:ea typeface="Times New Roman"/>
              <a:cs typeface="Arial" panose="020B0604020202020204" pitchFamily="34" charset="0"/>
            </a:defRPr>
          </a:pPr>
          <a:endParaRPr lang="es-ES"/>
        </a:p>
      </c:txPr>
    </c:legend>
    <c:plotVisOnly val="1"/>
    <c:dispBlanksAs val="gap"/>
    <c:showDLblsOverMax val="0"/>
  </c:chart>
  <c:spPr>
    <a:noFill/>
    <a:ln w="9525">
      <a:noFill/>
    </a:ln>
  </c:spPr>
  <c:txPr>
    <a:bodyPr/>
    <a:lstStyle/>
    <a:p>
      <a:pPr>
        <a:defRPr sz="1000" b="1" i="0" u="none" strike="noStrike" baseline="0">
          <a:solidFill>
            <a:srgbClr val="000000"/>
          </a:solidFill>
          <a:latin typeface="Times New Roman"/>
          <a:ea typeface="Times New Roman"/>
          <a:cs typeface="Times New Roman"/>
        </a:defRPr>
      </a:pPr>
      <a:endParaRPr lang="es-E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857142857142856"/>
          <c:y val="4.1564841797879976E-2"/>
          <c:w val="0.66373018372703407"/>
          <c:h val="0.82479560744562097"/>
        </c:manualLayout>
      </c:layout>
      <c:scatterChart>
        <c:scatterStyle val="lineMarker"/>
        <c:varyColors val="0"/>
        <c:ser>
          <c:idx val="0"/>
          <c:order val="0"/>
          <c:tx>
            <c:strRef>
              <c:f>'Graf 2018'!$C$172</c:f>
              <c:strCache>
                <c:ptCount val="1"/>
                <c:pt idx="0">
                  <c:v>Testigo</c:v>
                </c:pt>
              </c:strCache>
            </c:strRef>
          </c:tx>
          <c:spPr>
            <a:ln w="25400">
              <a:noFill/>
            </a:ln>
          </c:spPr>
          <c:marker>
            <c:symbol val="diamond"/>
            <c:size val="7"/>
            <c:spPr>
              <a:solidFill>
                <a:srgbClr val="99CCFF"/>
              </a:solidFill>
              <a:ln>
                <a:solidFill>
                  <a:srgbClr val="0000FF"/>
                </a:solidFill>
                <a:prstDash val="solid"/>
              </a:ln>
            </c:spPr>
          </c:marker>
          <c:trendline>
            <c:trendlineType val="linear"/>
            <c:intercept val="8.5"/>
            <c:dispRSqr val="1"/>
            <c:dispEq val="1"/>
            <c:trendlineLbl>
              <c:layout>
                <c:manualLayout>
                  <c:x val="0.19298175853018373"/>
                  <c:y val="3.147793576162692E-2"/>
                </c:manualLayout>
              </c:layout>
              <c:numFmt formatCode="General" sourceLinked="0"/>
            </c:trendlineLbl>
          </c:trendline>
          <c:xVal>
            <c:numRef>
              <c:f>'Graf 2018'!$D$170:$Q$170</c:f>
              <c:numCache>
                <c:formatCode>General</c:formatCode>
                <c:ptCount val="14"/>
                <c:pt idx="0">
                  <c:v>0</c:v>
                </c:pt>
                <c:pt idx="1">
                  <c:v>1</c:v>
                </c:pt>
                <c:pt idx="2">
                  <c:v>2</c:v>
                </c:pt>
                <c:pt idx="3">
                  <c:v>3</c:v>
                </c:pt>
                <c:pt idx="4">
                  <c:v>4</c:v>
                </c:pt>
                <c:pt idx="5">
                  <c:v>5</c:v>
                </c:pt>
                <c:pt idx="6">
                  <c:v>6</c:v>
                </c:pt>
                <c:pt idx="7">
                  <c:v>7</c:v>
                </c:pt>
                <c:pt idx="8">
                  <c:v>8</c:v>
                </c:pt>
                <c:pt idx="9">
                  <c:v>9</c:v>
                </c:pt>
                <c:pt idx="10">
                  <c:v>10</c:v>
                </c:pt>
                <c:pt idx="11">
                  <c:v>11</c:v>
                </c:pt>
                <c:pt idx="12">
                  <c:v>12</c:v>
                </c:pt>
                <c:pt idx="13">
                  <c:v>13</c:v>
                </c:pt>
              </c:numCache>
            </c:numRef>
          </c:xVal>
          <c:yVal>
            <c:numRef>
              <c:f>'Graf 2018'!$D$172:$Q$172</c:f>
              <c:numCache>
                <c:formatCode>0.0</c:formatCode>
                <c:ptCount val="14"/>
                <c:pt idx="0" formatCode="General">
                  <c:v>8.5</c:v>
                </c:pt>
                <c:pt idx="1">
                  <c:v>7.625</c:v>
                </c:pt>
                <c:pt idx="2">
                  <c:v>7.0750000000000002</c:v>
                </c:pt>
                <c:pt idx="3">
                  <c:v>3.9750000000000001</c:v>
                </c:pt>
                <c:pt idx="4" formatCode="General">
                  <c:v>6.9</c:v>
                </c:pt>
                <c:pt idx="5">
                  <c:v>5.2</c:v>
                </c:pt>
                <c:pt idx="6">
                  <c:v>6.0750000000000002</c:v>
                </c:pt>
                <c:pt idx="7">
                  <c:v>5.1499999999999995</c:v>
                </c:pt>
                <c:pt idx="8">
                  <c:v>5.8249999999999993</c:v>
                </c:pt>
                <c:pt idx="9">
                  <c:v>6.2</c:v>
                </c:pt>
                <c:pt idx="10" formatCode="General">
                  <c:v>5.1000000000000005</c:v>
                </c:pt>
                <c:pt idx="11" formatCode="General">
                  <c:v>3.625</c:v>
                </c:pt>
                <c:pt idx="12">
                  <c:v>3.8500000000000005</c:v>
                </c:pt>
                <c:pt idx="13" formatCode="General">
                  <c:v>4.0249999999999995</c:v>
                </c:pt>
              </c:numCache>
            </c:numRef>
          </c:yVal>
          <c:smooth val="0"/>
        </c:ser>
        <c:ser>
          <c:idx val="1"/>
          <c:order val="1"/>
          <c:tx>
            <c:strRef>
              <c:f>'Graf 2018'!$C$173</c:f>
              <c:strCache>
                <c:ptCount val="1"/>
                <c:pt idx="0">
                  <c:v>TUA</c:v>
                </c:pt>
              </c:strCache>
            </c:strRef>
          </c:tx>
          <c:spPr>
            <a:ln w="25400">
              <a:noFill/>
            </a:ln>
          </c:spPr>
          <c:marker>
            <c:symbol val="square"/>
            <c:size val="6"/>
            <c:spPr>
              <a:solidFill>
                <a:srgbClr val="3366FF"/>
              </a:solidFill>
              <a:ln>
                <a:solidFill>
                  <a:srgbClr val="3366FF"/>
                </a:solidFill>
                <a:prstDash val="solid"/>
              </a:ln>
            </c:spPr>
          </c:marker>
          <c:trendline>
            <c:spPr>
              <a:ln w="15875">
                <a:solidFill>
                  <a:srgbClr val="3366FF"/>
                </a:solidFill>
              </a:ln>
            </c:spPr>
            <c:trendlineType val="linear"/>
            <c:intercept val="8.5"/>
            <c:dispRSqr val="1"/>
            <c:dispEq val="1"/>
            <c:trendlineLbl>
              <c:layout>
                <c:manualLayout>
                  <c:x val="0.19558175853018372"/>
                  <c:y val="2.3844357584798304E-2"/>
                </c:manualLayout>
              </c:layout>
              <c:numFmt formatCode="General" sourceLinked="0"/>
              <c:txPr>
                <a:bodyPr/>
                <a:lstStyle/>
                <a:p>
                  <a:pPr>
                    <a:defRPr>
                      <a:solidFill>
                        <a:srgbClr val="0070C0"/>
                      </a:solidFill>
                    </a:defRPr>
                  </a:pPr>
                  <a:endParaRPr lang="es-ES"/>
                </a:p>
              </c:txPr>
            </c:trendlineLbl>
          </c:trendline>
          <c:xVal>
            <c:numRef>
              <c:f>'Graf 2018'!$D$170:$Q$170</c:f>
              <c:numCache>
                <c:formatCode>General</c:formatCode>
                <c:ptCount val="14"/>
                <c:pt idx="0">
                  <c:v>0</c:v>
                </c:pt>
                <c:pt idx="1">
                  <c:v>1</c:v>
                </c:pt>
                <c:pt idx="2">
                  <c:v>2</c:v>
                </c:pt>
                <c:pt idx="3">
                  <c:v>3</c:v>
                </c:pt>
                <c:pt idx="4">
                  <c:v>4</c:v>
                </c:pt>
                <c:pt idx="5">
                  <c:v>5</c:v>
                </c:pt>
                <c:pt idx="6">
                  <c:v>6</c:v>
                </c:pt>
                <c:pt idx="7">
                  <c:v>7</c:v>
                </c:pt>
                <c:pt idx="8">
                  <c:v>8</c:v>
                </c:pt>
                <c:pt idx="9">
                  <c:v>9</c:v>
                </c:pt>
                <c:pt idx="10">
                  <c:v>10</c:v>
                </c:pt>
                <c:pt idx="11">
                  <c:v>11</c:v>
                </c:pt>
                <c:pt idx="12">
                  <c:v>12</c:v>
                </c:pt>
                <c:pt idx="13">
                  <c:v>13</c:v>
                </c:pt>
              </c:numCache>
            </c:numRef>
          </c:xVal>
          <c:yVal>
            <c:numRef>
              <c:f>'Graf 2018'!$D$173:$Q$173</c:f>
              <c:numCache>
                <c:formatCode>0.0</c:formatCode>
                <c:ptCount val="14"/>
                <c:pt idx="0" formatCode="General">
                  <c:v>8.5</c:v>
                </c:pt>
                <c:pt idx="1">
                  <c:v>7.75</c:v>
                </c:pt>
                <c:pt idx="2">
                  <c:v>9.625</c:v>
                </c:pt>
                <c:pt idx="3">
                  <c:v>6.55</c:v>
                </c:pt>
                <c:pt idx="4" formatCode="General">
                  <c:v>8.9</c:v>
                </c:pt>
                <c:pt idx="5">
                  <c:v>7.6749999999999998</c:v>
                </c:pt>
                <c:pt idx="6">
                  <c:v>8.7249999999999996</c:v>
                </c:pt>
                <c:pt idx="7">
                  <c:v>10.074999999999999</c:v>
                </c:pt>
                <c:pt idx="8">
                  <c:v>11</c:v>
                </c:pt>
                <c:pt idx="9">
                  <c:v>11.15</c:v>
                </c:pt>
                <c:pt idx="10" formatCode="General">
                  <c:v>8.3999999999999986</c:v>
                </c:pt>
                <c:pt idx="11" formatCode="General">
                  <c:v>6.8250000000000002</c:v>
                </c:pt>
                <c:pt idx="12">
                  <c:v>7.9749999999999996</c:v>
                </c:pt>
                <c:pt idx="13" formatCode="General">
                  <c:v>5.625</c:v>
                </c:pt>
              </c:numCache>
            </c:numRef>
          </c:yVal>
          <c:smooth val="0"/>
        </c:ser>
        <c:ser>
          <c:idx val="2"/>
          <c:order val="2"/>
          <c:tx>
            <c:strRef>
              <c:f>'Graf 2018'!$C$174</c:f>
              <c:strCache>
                <c:ptCount val="1"/>
                <c:pt idx="0">
                  <c:v>Rep PS</c:v>
                </c:pt>
              </c:strCache>
            </c:strRef>
          </c:tx>
          <c:spPr>
            <a:ln w="25400">
              <a:noFill/>
            </a:ln>
          </c:spPr>
          <c:marker>
            <c:symbol val="triangle"/>
            <c:size val="6"/>
            <c:spPr>
              <a:solidFill>
                <a:srgbClr val="000080"/>
              </a:solidFill>
              <a:ln>
                <a:solidFill>
                  <a:srgbClr val="000080"/>
                </a:solidFill>
                <a:prstDash val="solid"/>
              </a:ln>
            </c:spPr>
          </c:marker>
          <c:trendline>
            <c:spPr>
              <a:ln w="19050">
                <a:solidFill>
                  <a:srgbClr val="000099"/>
                </a:solidFill>
              </a:ln>
            </c:spPr>
            <c:trendlineType val="linear"/>
            <c:intercept val="8.5"/>
            <c:dispRSqr val="1"/>
            <c:dispEq val="1"/>
            <c:trendlineLbl>
              <c:layout>
                <c:manualLayout>
                  <c:x val="0.19836509186351706"/>
                  <c:y val="-1.2550085915519612E-2"/>
                </c:manualLayout>
              </c:layout>
              <c:numFmt formatCode="General" sourceLinked="0"/>
              <c:txPr>
                <a:bodyPr/>
                <a:lstStyle/>
                <a:p>
                  <a:pPr>
                    <a:defRPr>
                      <a:solidFill>
                        <a:srgbClr val="000099"/>
                      </a:solidFill>
                    </a:defRPr>
                  </a:pPr>
                  <a:endParaRPr lang="es-ES"/>
                </a:p>
              </c:txPr>
            </c:trendlineLbl>
          </c:trendline>
          <c:xVal>
            <c:numRef>
              <c:f>'Graf 2018'!$D$170:$Q$170</c:f>
              <c:numCache>
                <c:formatCode>General</c:formatCode>
                <c:ptCount val="14"/>
                <c:pt idx="0">
                  <c:v>0</c:v>
                </c:pt>
                <c:pt idx="1">
                  <c:v>1</c:v>
                </c:pt>
                <c:pt idx="2">
                  <c:v>2</c:v>
                </c:pt>
                <c:pt idx="3">
                  <c:v>3</c:v>
                </c:pt>
                <c:pt idx="4">
                  <c:v>4</c:v>
                </c:pt>
                <c:pt idx="5">
                  <c:v>5</c:v>
                </c:pt>
                <c:pt idx="6">
                  <c:v>6</c:v>
                </c:pt>
                <c:pt idx="7">
                  <c:v>7</c:v>
                </c:pt>
                <c:pt idx="8">
                  <c:v>8</c:v>
                </c:pt>
                <c:pt idx="9">
                  <c:v>9</c:v>
                </c:pt>
                <c:pt idx="10">
                  <c:v>10</c:v>
                </c:pt>
                <c:pt idx="11">
                  <c:v>11</c:v>
                </c:pt>
                <c:pt idx="12">
                  <c:v>12</c:v>
                </c:pt>
                <c:pt idx="13">
                  <c:v>13</c:v>
                </c:pt>
              </c:numCache>
            </c:numRef>
          </c:xVal>
          <c:yVal>
            <c:numRef>
              <c:f>'Graf 2018'!$D$174:$Q$174</c:f>
              <c:numCache>
                <c:formatCode>0.0</c:formatCode>
                <c:ptCount val="14"/>
                <c:pt idx="0" formatCode="General">
                  <c:v>8.5</c:v>
                </c:pt>
                <c:pt idx="1">
                  <c:v>11.15</c:v>
                </c:pt>
                <c:pt idx="2">
                  <c:v>9.5500000000000007</c:v>
                </c:pt>
                <c:pt idx="3">
                  <c:v>7.125</c:v>
                </c:pt>
                <c:pt idx="4" formatCode="General">
                  <c:v>11.6</c:v>
                </c:pt>
                <c:pt idx="5">
                  <c:v>11.35</c:v>
                </c:pt>
                <c:pt idx="6">
                  <c:v>16.27</c:v>
                </c:pt>
                <c:pt idx="7">
                  <c:v>12.925000000000001</c:v>
                </c:pt>
                <c:pt idx="8">
                  <c:v>16.05</c:v>
                </c:pt>
                <c:pt idx="9">
                  <c:v>12.200000000000001</c:v>
                </c:pt>
                <c:pt idx="10" formatCode="General">
                  <c:v>10.85</c:v>
                </c:pt>
                <c:pt idx="11" formatCode="General">
                  <c:v>9.25</c:v>
                </c:pt>
                <c:pt idx="12">
                  <c:v>10.149999999999999</c:v>
                </c:pt>
                <c:pt idx="13" formatCode="General">
                  <c:v>9.4250000000000007</c:v>
                </c:pt>
              </c:numCache>
            </c:numRef>
          </c:yVal>
          <c:smooth val="0"/>
        </c:ser>
        <c:ser>
          <c:idx val="3"/>
          <c:order val="3"/>
          <c:tx>
            <c:strRef>
              <c:f>'Graf 2018'!$C$175</c:f>
              <c:strCache>
                <c:ptCount val="1"/>
                <c:pt idx="0">
                  <c:v>Rep PS AR</c:v>
                </c:pt>
              </c:strCache>
            </c:strRef>
          </c:tx>
          <c:spPr>
            <a:ln w="25400">
              <a:noFill/>
            </a:ln>
          </c:spPr>
          <c:marker>
            <c:symbol val="diamond"/>
            <c:size val="7"/>
            <c:spPr>
              <a:solidFill>
                <a:srgbClr val="FF0000"/>
              </a:solidFill>
              <a:ln>
                <a:solidFill>
                  <a:srgbClr val="FF0000"/>
                </a:solidFill>
                <a:prstDash val="solid"/>
              </a:ln>
            </c:spPr>
          </c:marker>
          <c:trendline>
            <c:spPr>
              <a:ln w="19050">
                <a:solidFill>
                  <a:srgbClr val="FF0000"/>
                </a:solidFill>
              </a:ln>
            </c:spPr>
            <c:trendlineType val="linear"/>
            <c:intercept val="8.5"/>
            <c:dispRSqr val="1"/>
            <c:dispEq val="1"/>
            <c:trendlineLbl>
              <c:layout>
                <c:manualLayout>
                  <c:x val="0.18836509186351705"/>
                  <c:y val="-3.0813018876237594E-2"/>
                </c:manualLayout>
              </c:layout>
              <c:numFmt formatCode="General" sourceLinked="0"/>
              <c:txPr>
                <a:bodyPr/>
                <a:lstStyle/>
                <a:p>
                  <a:pPr>
                    <a:defRPr>
                      <a:solidFill>
                        <a:srgbClr val="FF0000"/>
                      </a:solidFill>
                    </a:defRPr>
                  </a:pPr>
                  <a:endParaRPr lang="es-ES"/>
                </a:p>
              </c:txPr>
            </c:trendlineLbl>
          </c:trendline>
          <c:xVal>
            <c:numRef>
              <c:f>'Graf 2018'!$D$170:$Q$170</c:f>
              <c:numCache>
                <c:formatCode>General</c:formatCode>
                <c:ptCount val="14"/>
                <c:pt idx="0">
                  <c:v>0</c:v>
                </c:pt>
                <c:pt idx="1">
                  <c:v>1</c:v>
                </c:pt>
                <c:pt idx="2">
                  <c:v>2</c:v>
                </c:pt>
                <c:pt idx="3">
                  <c:v>3</c:v>
                </c:pt>
                <c:pt idx="4">
                  <c:v>4</c:v>
                </c:pt>
                <c:pt idx="5">
                  <c:v>5</c:v>
                </c:pt>
                <c:pt idx="6">
                  <c:v>6</c:v>
                </c:pt>
                <c:pt idx="7">
                  <c:v>7</c:v>
                </c:pt>
                <c:pt idx="8">
                  <c:v>8</c:v>
                </c:pt>
                <c:pt idx="9">
                  <c:v>9</c:v>
                </c:pt>
                <c:pt idx="10">
                  <c:v>10</c:v>
                </c:pt>
                <c:pt idx="11">
                  <c:v>11</c:v>
                </c:pt>
                <c:pt idx="12">
                  <c:v>12</c:v>
                </c:pt>
                <c:pt idx="13">
                  <c:v>13</c:v>
                </c:pt>
              </c:numCache>
            </c:numRef>
          </c:xVal>
          <c:yVal>
            <c:numRef>
              <c:f>'Graf 2018'!$D$175:$Q$175</c:f>
              <c:numCache>
                <c:formatCode>0.0</c:formatCode>
                <c:ptCount val="14"/>
                <c:pt idx="0" formatCode="General">
                  <c:v>8.5</c:v>
                </c:pt>
                <c:pt idx="1">
                  <c:v>10.4</c:v>
                </c:pt>
                <c:pt idx="2">
                  <c:v>9.7750000000000004</c:v>
                </c:pt>
                <c:pt idx="3">
                  <c:v>6.65</c:v>
                </c:pt>
                <c:pt idx="4" formatCode="General">
                  <c:v>12.6</c:v>
                </c:pt>
                <c:pt idx="5">
                  <c:v>14.5</c:v>
                </c:pt>
                <c:pt idx="6">
                  <c:v>18.975000000000001</c:v>
                </c:pt>
                <c:pt idx="7">
                  <c:v>21.625</c:v>
                </c:pt>
                <c:pt idx="8">
                  <c:v>18.600000000000001</c:v>
                </c:pt>
                <c:pt idx="9">
                  <c:v>20.499999999999996</c:v>
                </c:pt>
                <c:pt idx="10" formatCode="General">
                  <c:v>12.475</c:v>
                </c:pt>
                <c:pt idx="11" formatCode="General">
                  <c:v>13.5</c:v>
                </c:pt>
                <c:pt idx="12">
                  <c:v>13.775</c:v>
                </c:pt>
                <c:pt idx="13" formatCode="General">
                  <c:v>14.174999999999999</c:v>
                </c:pt>
              </c:numCache>
            </c:numRef>
          </c:yVal>
          <c:smooth val="0"/>
        </c:ser>
        <c:ser>
          <c:idx val="4"/>
          <c:order val="4"/>
          <c:tx>
            <c:strRef>
              <c:f>'Graf 2018'!$C$176</c:f>
              <c:strCache>
                <c:ptCount val="1"/>
                <c:pt idx="0">
                  <c:v>Reconstrucción</c:v>
                </c:pt>
              </c:strCache>
            </c:strRef>
          </c:tx>
          <c:spPr>
            <a:ln w="25400">
              <a:noFill/>
            </a:ln>
          </c:spPr>
          <c:marker>
            <c:symbol val="circle"/>
            <c:size val="7"/>
            <c:spPr>
              <a:solidFill>
                <a:srgbClr val="800000"/>
              </a:solidFill>
              <a:ln>
                <a:solidFill>
                  <a:srgbClr val="800000"/>
                </a:solidFill>
                <a:prstDash val="solid"/>
              </a:ln>
            </c:spPr>
          </c:marker>
          <c:trendline>
            <c:spPr>
              <a:ln w="19050">
                <a:solidFill>
                  <a:srgbClr val="800000"/>
                </a:solidFill>
                <a:prstDash val="dash"/>
              </a:ln>
            </c:spPr>
            <c:trendlineType val="linear"/>
            <c:intercept val="8.5"/>
            <c:dispRSqr val="1"/>
            <c:dispEq val="1"/>
            <c:trendlineLbl>
              <c:layout>
                <c:manualLayout>
                  <c:x val="0.19003175853018373"/>
                  <c:y val="9.3355237070186364E-3"/>
                </c:manualLayout>
              </c:layout>
              <c:numFmt formatCode="General" sourceLinked="0"/>
              <c:txPr>
                <a:bodyPr/>
                <a:lstStyle/>
                <a:p>
                  <a:pPr>
                    <a:defRPr>
                      <a:solidFill>
                        <a:srgbClr val="C00000"/>
                      </a:solidFill>
                    </a:defRPr>
                  </a:pPr>
                  <a:endParaRPr lang="es-ES"/>
                </a:p>
              </c:txPr>
            </c:trendlineLbl>
          </c:trendline>
          <c:xVal>
            <c:numRef>
              <c:f>'Graf 2018'!$D$170:$Q$170</c:f>
              <c:numCache>
                <c:formatCode>General</c:formatCode>
                <c:ptCount val="14"/>
                <c:pt idx="0">
                  <c:v>0</c:v>
                </c:pt>
                <c:pt idx="1">
                  <c:v>1</c:v>
                </c:pt>
                <c:pt idx="2">
                  <c:v>2</c:v>
                </c:pt>
                <c:pt idx="3">
                  <c:v>3</c:v>
                </c:pt>
                <c:pt idx="4">
                  <c:v>4</c:v>
                </c:pt>
                <c:pt idx="5">
                  <c:v>5</c:v>
                </c:pt>
                <c:pt idx="6">
                  <c:v>6</c:v>
                </c:pt>
                <c:pt idx="7">
                  <c:v>7</c:v>
                </c:pt>
                <c:pt idx="8">
                  <c:v>8</c:v>
                </c:pt>
                <c:pt idx="9">
                  <c:v>9</c:v>
                </c:pt>
                <c:pt idx="10">
                  <c:v>10</c:v>
                </c:pt>
                <c:pt idx="11">
                  <c:v>11</c:v>
                </c:pt>
                <c:pt idx="12">
                  <c:v>12</c:v>
                </c:pt>
                <c:pt idx="13">
                  <c:v>13</c:v>
                </c:pt>
              </c:numCache>
            </c:numRef>
          </c:xVal>
          <c:yVal>
            <c:numRef>
              <c:f>'Graf 2018'!$D$176:$Q$176</c:f>
              <c:numCache>
                <c:formatCode>0.0</c:formatCode>
                <c:ptCount val="14"/>
                <c:pt idx="0" formatCode="General">
                  <c:v>8.5</c:v>
                </c:pt>
                <c:pt idx="1">
                  <c:v>10.45</c:v>
                </c:pt>
                <c:pt idx="2">
                  <c:v>15.525</c:v>
                </c:pt>
                <c:pt idx="3">
                  <c:v>13.375</c:v>
                </c:pt>
                <c:pt idx="4" formatCode="General">
                  <c:v>16.7</c:v>
                </c:pt>
                <c:pt idx="5">
                  <c:v>25.175000000000001</c:v>
                </c:pt>
                <c:pt idx="6">
                  <c:v>25.65</c:v>
                </c:pt>
                <c:pt idx="7">
                  <c:v>25.4</c:v>
                </c:pt>
                <c:pt idx="8">
                  <c:v>23.2</c:v>
                </c:pt>
                <c:pt idx="9">
                  <c:v>37.625</c:v>
                </c:pt>
                <c:pt idx="10" formatCode="General">
                  <c:v>24.5</c:v>
                </c:pt>
                <c:pt idx="11" formatCode="General">
                  <c:v>19.700000000000003</c:v>
                </c:pt>
                <c:pt idx="12">
                  <c:v>28.774999999999999</c:v>
                </c:pt>
                <c:pt idx="13" formatCode="General">
                  <c:v>28.274999999999999</c:v>
                </c:pt>
              </c:numCache>
            </c:numRef>
          </c:yVal>
          <c:smooth val="0"/>
        </c:ser>
        <c:dLbls>
          <c:showLegendKey val="0"/>
          <c:showVal val="0"/>
          <c:showCatName val="0"/>
          <c:showSerName val="0"/>
          <c:showPercent val="0"/>
          <c:showBubbleSize val="0"/>
        </c:dLbls>
        <c:axId val="457699248"/>
        <c:axId val="409358288"/>
      </c:scatterChart>
      <c:valAx>
        <c:axId val="457699248"/>
        <c:scaling>
          <c:orientation val="minMax"/>
          <c:max val="13"/>
        </c:scaling>
        <c:delete val="0"/>
        <c:axPos val="b"/>
        <c:title>
          <c:tx>
            <c:rich>
              <a:bodyPr/>
              <a:lstStyle/>
              <a:p>
                <a:pPr>
                  <a:defRPr/>
                </a:pPr>
                <a:r>
                  <a:rPr lang="es-AR"/>
                  <a:t>AÑO DE MUESTREO</a:t>
                </a:r>
              </a:p>
            </c:rich>
          </c:tx>
          <c:layout>
            <c:manualLayout>
              <c:xMode val="edge"/>
              <c:yMode val="edge"/>
              <c:x val="0.38369044857909984"/>
              <c:y val="0.94050985006184573"/>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a:pPr>
            <a:endParaRPr lang="es-ES"/>
          </a:p>
        </c:txPr>
        <c:crossAx val="409358288"/>
        <c:crosses val="autoZero"/>
        <c:crossBetween val="midCat"/>
        <c:majorUnit val="1"/>
        <c:minorUnit val="1"/>
      </c:valAx>
      <c:valAx>
        <c:axId val="409358288"/>
        <c:scaling>
          <c:orientation val="minMax"/>
          <c:max val="40"/>
          <c:min val="0"/>
        </c:scaling>
        <c:delete val="0"/>
        <c:axPos val="l"/>
        <c:title>
          <c:tx>
            <c:rich>
              <a:bodyPr/>
              <a:lstStyle/>
              <a:p>
                <a:pPr>
                  <a:defRPr/>
                </a:pPr>
                <a:r>
                  <a:rPr lang="es-AR"/>
                  <a:t>P bray a cosecha (mg kg-1)</a:t>
                </a:r>
              </a:p>
            </c:rich>
          </c:tx>
          <c:layout>
            <c:manualLayout>
              <c:xMode val="edge"/>
              <c:yMode val="edge"/>
              <c:x val="2.3214285714285715E-2"/>
              <c:y val="0.21026920534688665"/>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a:pPr>
            <a:endParaRPr lang="es-ES"/>
          </a:p>
        </c:txPr>
        <c:crossAx val="457699248"/>
        <c:crosses val="autoZero"/>
        <c:crossBetween val="midCat"/>
        <c:majorUnit val="5"/>
      </c:valAx>
      <c:spPr>
        <a:noFill/>
        <a:ln w="25400">
          <a:noFill/>
        </a:ln>
      </c:spPr>
    </c:plotArea>
    <c:legend>
      <c:legendPos val="r"/>
      <c:legendEntry>
        <c:idx val="5"/>
        <c:delete val="1"/>
      </c:legendEntry>
      <c:legendEntry>
        <c:idx val="6"/>
        <c:delete val="1"/>
      </c:legendEntry>
      <c:legendEntry>
        <c:idx val="7"/>
        <c:delete val="1"/>
      </c:legendEntry>
      <c:legendEntry>
        <c:idx val="8"/>
        <c:delete val="1"/>
      </c:legendEntry>
      <c:legendEntry>
        <c:idx val="9"/>
        <c:delete val="1"/>
      </c:legendEntry>
      <c:layout>
        <c:manualLayout>
          <c:xMode val="edge"/>
          <c:yMode val="edge"/>
          <c:x val="0.14761904761904765"/>
          <c:y val="7.3290910578623719E-2"/>
          <c:w val="0.15271246719160106"/>
          <c:h val="0.27279341880826047"/>
        </c:manualLayout>
      </c:layout>
      <c:overlay val="0"/>
      <c:spPr>
        <a:solidFill>
          <a:schemeClr val="bg1"/>
        </a:solidFill>
        <a:ln w="25400">
          <a:noFill/>
        </a:ln>
      </c:spPr>
    </c:legend>
    <c:plotVisOnly val="1"/>
    <c:dispBlanksAs val="gap"/>
    <c:showDLblsOverMax val="0"/>
  </c:chart>
  <c:spPr>
    <a:noFill/>
    <a:ln w="9525">
      <a:noFill/>
    </a:ln>
  </c:spPr>
  <c:txPr>
    <a:bodyPr/>
    <a:lstStyle/>
    <a:p>
      <a:pPr>
        <a:defRPr sz="1000" b="1" i="0" u="none" strike="noStrike" baseline="0">
          <a:solidFill>
            <a:srgbClr val="000000"/>
          </a:solidFill>
          <a:latin typeface="+mn-lt"/>
          <a:ea typeface="Arial"/>
          <a:cs typeface="Arial"/>
        </a:defRPr>
      </a:pPr>
      <a:endParaRPr lang="es-E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3952421631258358E-2"/>
          <c:y val="5.9322773491825943E-2"/>
          <c:w val="0.91929238011915182"/>
          <c:h val="0.78405937011127969"/>
        </c:manualLayout>
      </c:layout>
      <c:scatterChart>
        <c:scatterStyle val="lineMarker"/>
        <c:varyColors val="0"/>
        <c:ser>
          <c:idx val="0"/>
          <c:order val="0"/>
          <c:tx>
            <c:v>Año 1 - Jul07</c:v>
          </c:tx>
          <c:spPr>
            <a:ln w="28575">
              <a:noFill/>
            </a:ln>
          </c:spPr>
          <c:marker>
            <c:symbol val="circle"/>
            <c:size val="7"/>
            <c:spPr>
              <a:solidFill>
                <a:srgbClr val="000080"/>
              </a:solidFill>
              <a:ln>
                <a:solidFill>
                  <a:srgbClr val="000080"/>
                </a:solidFill>
                <a:prstDash val="solid"/>
              </a:ln>
            </c:spPr>
          </c:marker>
          <c:xVal>
            <c:numRef>
              <c:f>'[3]Trigo_soja ordenado'!$Q$449:$Q$468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xVal>
          <c:yVal>
            <c:numRef>
              <c:f>'[3]Trigo_soja ordenado'!$R$449:$R$468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yVal>
          <c:smooth val="0"/>
        </c:ser>
        <c:ser>
          <c:idx val="1"/>
          <c:order val="1"/>
          <c:tx>
            <c:v>Año 2 - Jul08</c:v>
          </c:tx>
          <c:spPr>
            <a:ln w="28575">
              <a:noFill/>
            </a:ln>
          </c:spPr>
          <c:marker>
            <c:symbol val="square"/>
            <c:size val="7"/>
            <c:spPr>
              <a:solidFill>
                <a:srgbClr val="800000"/>
              </a:solidFill>
              <a:ln>
                <a:solidFill>
                  <a:srgbClr val="800000"/>
                </a:solidFill>
                <a:prstDash val="solid"/>
              </a:ln>
            </c:spPr>
          </c:marker>
          <c:xVal>
            <c:numRef>
              <c:f>'[3]Trigo_soja ordenado'!$Q$469:$Q$488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xVal>
          <c:yVal>
            <c:numRef>
              <c:f>'[3]Trigo_soja ordenado'!$R$469:$R$488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yVal>
          <c:smooth val="0"/>
        </c:ser>
        <c:ser>
          <c:idx val="2"/>
          <c:order val="2"/>
          <c:tx>
            <c:v>Año 3 - Jul09</c:v>
          </c:tx>
          <c:spPr>
            <a:ln w="28575">
              <a:noFill/>
            </a:ln>
          </c:spPr>
          <c:marker>
            <c:symbol val="triangle"/>
            <c:size val="6"/>
            <c:spPr>
              <a:solidFill>
                <a:srgbClr val="FF0000"/>
              </a:solidFill>
              <a:ln>
                <a:solidFill>
                  <a:srgbClr val="FF0000"/>
                </a:solidFill>
                <a:prstDash val="solid"/>
              </a:ln>
            </c:spPr>
          </c:marker>
          <c:xVal>
            <c:numRef>
              <c:f>'[3]Trigo_soja ordenado'!$Q$489:$Q$508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xVal>
          <c:yVal>
            <c:numRef>
              <c:f>'[3]Trigo_soja ordenado'!$R$489:$R$508</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yVal>
          <c:smooth val="0"/>
        </c:ser>
        <c:ser>
          <c:idx val="3"/>
          <c:order val="3"/>
          <c:tx>
            <c:v>Año 4 - Jul10</c:v>
          </c:tx>
          <c:spPr>
            <a:ln w="28575">
              <a:noFill/>
            </a:ln>
          </c:spPr>
          <c:marker>
            <c:symbol val="star"/>
            <c:size val="6"/>
            <c:spPr>
              <a:noFill/>
              <a:ln>
                <a:solidFill>
                  <a:srgbClr val="000000"/>
                </a:solidFill>
                <a:prstDash val="solid"/>
              </a:ln>
            </c:spPr>
          </c:marker>
          <c:xVal>
            <c:numRef>
              <c:f>'Graficos balance'!$Q$509:$Q$528</c:f>
              <c:numCache>
                <c:formatCode>0.00</c:formatCode>
                <c:ptCount val="20"/>
                <c:pt idx="0">
                  <c:v>-13.80081</c:v>
                </c:pt>
                <c:pt idx="1">
                  <c:v>-2.2091000000000012</c:v>
                </c:pt>
                <c:pt idx="2">
                  <c:v>-7.0605679999999982</c:v>
                </c:pt>
                <c:pt idx="3">
                  <c:v>-2.5242999999999984</c:v>
                </c:pt>
                <c:pt idx="4">
                  <c:v>14.318730000000002</c:v>
                </c:pt>
                <c:pt idx="5">
                  <c:v>-16.578459000000002</c:v>
                </c:pt>
                <c:pt idx="6">
                  <c:v>-4.7694230000000015</c:v>
                </c:pt>
                <c:pt idx="7">
                  <c:v>-1.3303130000000003</c:v>
                </c:pt>
                <c:pt idx="8">
                  <c:v>1.0399159999999998</c:v>
                </c:pt>
                <c:pt idx="9">
                  <c:v>11.638955999999999</c:v>
                </c:pt>
                <c:pt idx="10">
                  <c:v>-16.153029</c:v>
                </c:pt>
                <c:pt idx="11">
                  <c:v>-5.6428160000000016</c:v>
                </c:pt>
                <c:pt idx="12">
                  <c:v>-6.6461870000000012</c:v>
                </c:pt>
                <c:pt idx="13">
                  <c:v>-7.8723639999999993</c:v>
                </c:pt>
                <c:pt idx="14">
                  <c:v>12.728370000000002</c:v>
                </c:pt>
                <c:pt idx="15">
                  <c:v>-12.441870000000002</c:v>
                </c:pt>
                <c:pt idx="16">
                  <c:v>-2.196137000000002</c:v>
                </c:pt>
                <c:pt idx="17">
                  <c:v>-7.6506019999999992</c:v>
                </c:pt>
                <c:pt idx="18">
                  <c:v>-4.0558479999999992</c:v>
                </c:pt>
                <c:pt idx="19">
                  <c:v>14.189274000000001</c:v>
                </c:pt>
              </c:numCache>
            </c:numRef>
          </c:xVal>
          <c:yVal>
            <c:numRef>
              <c:f>'Graficos balance'!$R$509:$R$528</c:f>
              <c:numCache>
                <c:formatCode>General</c:formatCode>
                <c:ptCount val="20"/>
                <c:pt idx="0">
                  <c:v>7</c:v>
                </c:pt>
                <c:pt idx="1">
                  <c:v>10.9</c:v>
                </c:pt>
                <c:pt idx="2">
                  <c:v>11.7</c:v>
                </c:pt>
                <c:pt idx="3">
                  <c:v>13</c:v>
                </c:pt>
                <c:pt idx="4">
                  <c:v>15.4</c:v>
                </c:pt>
                <c:pt idx="5">
                  <c:v>7.5</c:v>
                </c:pt>
                <c:pt idx="6">
                  <c:v>9</c:v>
                </c:pt>
                <c:pt idx="7">
                  <c:v>7.3</c:v>
                </c:pt>
                <c:pt idx="8">
                  <c:v>11.9</c:v>
                </c:pt>
                <c:pt idx="9">
                  <c:v>16.3</c:v>
                </c:pt>
                <c:pt idx="10">
                  <c:v>6.4</c:v>
                </c:pt>
                <c:pt idx="11">
                  <c:v>7.6</c:v>
                </c:pt>
                <c:pt idx="12">
                  <c:v>12.5</c:v>
                </c:pt>
                <c:pt idx="13">
                  <c:v>10.199999999999999</c:v>
                </c:pt>
                <c:pt idx="14">
                  <c:v>19.3</c:v>
                </c:pt>
                <c:pt idx="15">
                  <c:v>6.6</c:v>
                </c:pt>
                <c:pt idx="16">
                  <c:v>7.9</c:v>
                </c:pt>
                <c:pt idx="17">
                  <c:v>14.7</c:v>
                </c:pt>
                <c:pt idx="18">
                  <c:v>15.3</c:v>
                </c:pt>
                <c:pt idx="19">
                  <c:v>15.8</c:v>
                </c:pt>
              </c:numCache>
            </c:numRef>
          </c:yVal>
          <c:smooth val="0"/>
        </c:ser>
        <c:ser>
          <c:idx val="4"/>
          <c:order val="4"/>
          <c:tx>
            <c:v>Año 5 - Jul11</c:v>
          </c:tx>
          <c:spPr>
            <a:ln w="28575">
              <a:noFill/>
            </a:ln>
          </c:spPr>
          <c:marker>
            <c:symbol val="diamond"/>
            <c:size val="7"/>
            <c:spPr>
              <a:solidFill>
                <a:srgbClr val="008000"/>
              </a:solidFill>
              <a:ln>
                <a:solidFill>
                  <a:srgbClr val="003300"/>
                </a:solidFill>
                <a:prstDash val="solid"/>
              </a:ln>
            </c:spPr>
          </c:marker>
          <c:xVal>
            <c:numRef>
              <c:f>'Graficos balance'!$Q$529:$Q$548</c:f>
              <c:numCache>
                <c:formatCode>0.00</c:formatCode>
                <c:ptCount val="20"/>
                <c:pt idx="0">
                  <c:v>-13.820402399999999</c:v>
                </c:pt>
                <c:pt idx="1">
                  <c:v>-5.393787200000002</c:v>
                </c:pt>
                <c:pt idx="2">
                  <c:v>-2.0351399999999984</c:v>
                </c:pt>
                <c:pt idx="3">
                  <c:v>0.30696959999999152</c:v>
                </c:pt>
                <c:pt idx="4">
                  <c:v>2.9021140000000045</c:v>
                </c:pt>
                <c:pt idx="5">
                  <c:v>-14.841608399999998</c:v>
                </c:pt>
                <c:pt idx="6">
                  <c:v>-4.6458307999999988</c:v>
                </c:pt>
                <c:pt idx="7">
                  <c:v>5.7579024000000025</c:v>
                </c:pt>
                <c:pt idx="8">
                  <c:v>-2.903956799999996</c:v>
                </c:pt>
                <c:pt idx="9">
                  <c:v>20.118352599999998</c:v>
                </c:pt>
                <c:pt idx="10">
                  <c:v>-11.727043200000001</c:v>
                </c:pt>
                <c:pt idx="11">
                  <c:v>-4.6841977999999926</c:v>
                </c:pt>
                <c:pt idx="12">
                  <c:v>0.82341899999999768</c:v>
                </c:pt>
                <c:pt idx="13">
                  <c:v>6.9810875999999951</c:v>
                </c:pt>
                <c:pt idx="14">
                  <c:v>13.061382399999999</c:v>
                </c:pt>
                <c:pt idx="15">
                  <c:v>-9.1182960000000008</c:v>
                </c:pt>
                <c:pt idx="16">
                  <c:v>0.64756240000000176</c:v>
                </c:pt>
                <c:pt idx="17">
                  <c:v>4.9602341999999986</c:v>
                </c:pt>
                <c:pt idx="18">
                  <c:v>-0.37413600000000002</c:v>
                </c:pt>
                <c:pt idx="19">
                  <c:v>19.809999999999999</c:v>
                </c:pt>
              </c:numCache>
            </c:numRef>
          </c:xVal>
          <c:yVal>
            <c:numRef>
              <c:f>'Graficos balance'!$R$529:$R$548</c:f>
              <c:numCache>
                <c:formatCode>General</c:formatCode>
                <c:ptCount val="20"/>
                <c:pt idx="0">
                  <c:v>5</c:v>
                </c:pt>
                <c:pt idx="1">
                  <c:v>7.8</c:v>
                </c:pt>
                <c:pt idx="2">
                  <c:v>9.3000000000000007</c:v>
                </c:pt>
                <c:pt idx="3">
                  <c:v>20.399999999999999</c:v>
                </c:pt>
                <c:pt idx="4">
                  <c:v>21.5</c:v>
                </c:pt>
                <c:pt idx="5">
                  <c:v>4.8</c:v>
                </c:pt>
                <c:pt idx="6">
                  <c:v>8.6</c:v>
                </c:pt>
                <c:pt idx="7">
                  <c:v>13.5</c:v>
                </c:pt>
                <c:pt idx="8">
                  <c:v>12.4</c:v>
                </c:pt>
                <c:pt idx="9">
                  <c:v>22.2</c:v>
                </c:pt>
                <c:pt idx="10">
                  <c:v>5.8</c:v>
                </c:pt>
                <c:pt idx="11">
                  <c:v>6.6</c:v>
                </c:pt>
                <c:pt idx="12">
                  <c:v>11.3</c:v>
                </c:pt>
                <c:pt idx="13">
                  <c:v>14.7</c:v>
                </c:pt>
                <c:pt idx="14">
                  <c:v>19.3</c:v>
                </c:pt>
                <c:pt idx="15">
                  <c:v>5.2</c:v>
                </c:pt>
                <c:pt idx="16">
                  <c:v>7.7</c:v>
                </c:pt>
                <c:pt idx="17">
                  <c:v>11.3</c:v>
                </c:pt>
                <c:pt idx="18">
                  <c:v>10.5</c:v>
                </c:pt>
                <c:pt idx="19">
                  <c:v>37.700000000000003</c:v>
                </c:pt>
              </c:numCache>
            </c:numRef>
          </c:yVal>
          <c:smooth val="0"/>
        </c:ser>
        <c:ser>
          <c:idx val="5"/>
          <c:order val="5"/>
          <c:tx>
            <c:v>balance negativo</c:v>
          </c:tx>
          <c:spPr>
            <a:ln w="28575">
              <a:noFill/>
            </a:ln>
          </c:spPr>
          <c:marker>
            <c:symbol val="circle"/>
            <c:size val="7"/>
            <c:spPr>
              <a:noFill/>
              <a:ln w="9525">
                <a:noFill/>
              </a:ln>
            </c:spPr>
          </c:marker>
          <c:xVal>
            <c:numRef>
              <c:f>'Graficos balance'!$M$449:$M$708</c:f>
              <c:numCache>
                <c:formatCode>0.00</c:formatCode>
                <c:ptCount val="260"/>
                <c:pt idx="0">
                  <c:v>-50.451530999999996</c:v>
                </c:pt>
                <c:pt idx="1">
                  <c:v>-48.476856000000005</c:v>
                </c:pt>
                <c:pt idx="2">
                  <c:v>-44.774940000000001</c:v>
                </c:pt>
                <c:pt idx="3">
                  <c:v>-42.027426000000006</c:v>
                </c:pt>
                <c:pt idx="4">
                  <c:v>-41.117909999999995</c:v>
                </c:pt>
                <c:pt idx="5">
                  <c:v>-40.331742000000006</c:v>
                </c:pt>
                <c:pt idx="6">
                  <c:v>-37.105280999999998</c:v>
                </c:pt>
                <c:pt idx="7">
                  <c:v>-34.022556000000002</c:v>
                </c:pt>
                <c:pt idx="8" formatCode="0.0">
                  <c:v>-24.591680999999998</c:v>
                </c:pt>
                <c:pt idx="9" formatCode="0.0">
                  <c:v>-23.910209999999996</c:v>
                </c:pt>
                <c:pt idx="10" formatCode="0.0">
                  <c:v>-23.391342000000005</c:v>
                </c:pt>
                <c:pt idx="11">
                  <c:v>-22.742586999999997</c:v>
                </c:pt>
                <c:pt idx="12">
                  <c:v>-19.334505999999998</c:v>
                </c:pt>
                <c:pt idx="13" formatCode="0.0">
                  <c:v>-18.860556000000003</c:v>
                </c:pt>
                <c:pt idx="14" formatCode="0.0">
                  <c:v>-18.462051428571428</c:v>
                </c:pt>
                <c:pt idx="15">
                  <c:v>-18.254892000000005</c:v>
                </c:pt>
                <c:pt idx="16" formatCode="0.0">
                  <c:v>-17.094152571428573</c:v>
                </c:pt>
                <c:pt idx="17" formatCode="0.0">
                  <c:v>-16.692866666666667</c:v>
                </c:pt>
                <c:pt idx="18">
                  <c:v>-16.578459000000002</c:v>
                </c:pt>
                <c:pt idx="19">
                  <c:v>-16.391495999999997</c:v>
                </c:pt>
                <c:pt idx="20">
                  <c:v>-16.153029</c:v>
                </c:pt>
                <c:pt idx="21" formatCode="0.0">
                  <c:v>-15.618157142857143</c:v>
                </c:pt>
                <c:pt idx="22">
                  <c:v>-15.523584</c:v>
                </c:pt>
                <c:pt idx="23" formatCode="0.0">
                  <c:v>-15.429819428571427</c:v>
                </c:pt>
                <c:pt idx="24" formatCode="0.0">
                  <c:v>-15.059182142857143</c:v>
                </c:pt>
                <c:pt idx="25">
                  <c:v>-15.054480000000002</c:v>
                </c:pt>
                <c:pt idx="26" formatCode="0.0">
                  <c:v>-14.922022500000001</c:v>
                </c:pt>
                <c:pt idx="27">
                  <c:v>-14.841608399999998</c:v>
                </c:pt>
                <c:pt idx="28" formatCode="0.0">
                  <c:v>-14.486742857142858</c:v>
                </c:pt>
                <c:pt idx="29" formatCode="0.0">
                  <c:v>-14.398707142857145</c:v>
                </c:pt>
                <c:pt idx="30" formatCode="0.0">
                  <c:v>-14.318594642857144</c:v>
                </c:pt>
                <c:pt idx="31" formatCode="0.0">
                  <c:v>-14.2011144</c:v>
                </c:pt>
                <c:pt idx="32" formatCode="0.0">
                  <c:v>-14.128186999999997</c:v>
                </c:pt>
                <c:pt idx="33" formatCode="0.0">
                  <c:v>-14.091514285714286</c:v>
                </c:pt>
                <c:pt idx="34">
                  <c:v>-13.820402399999999</c:v>
                </c:pt>
                <c:pt idx="35">
                  <c:v>-13.80081</c:v>
                </c:pt>
                <c:pt idx="36" formatCode="0.0">
                  <c:v>-13.426585714285714</c:v>
                </c:pt>
                <c:pt idx="37">
                  <c:v>-13.424243999999998</c:v>
                </c:pt>
                <c:pt idx="38">
                  <c:v>-13.373405000000005</c:v>
                </c:pt>
                <c:pt idx="39" formatCode="0.0">
                  <c:v>-13.244652142857142</c:v>
                </c:pt>
                <c:pt idx="40">
                  <c:v>-13.137696000000002</c:v>
                </c:pt>
                <c:pt idx="41" formatCode="0.0">
                  <c:v>-12.793375000000001</c:v>
                </c:pt>
                <c:pt idx="42" formatCode="0.0">
                  <c:v>-12.686571428571426</c:v>
                </c:pt>
                <c:pt idx="43" formatCode="0.0">
                  <c:v>-12.564096300000001</c:v>
                </c:pt>
                <c:pt idx="44">
                  <c:v>-12.441870000000002</c:v>
                </c:pt>
                <c:pt idx="45">
                  <c:v>-11.727043200000001</c:v>
                </c:pt>
                <c:pt idx="46" formatCode="0.0">
                  <c:v>-11.529115714285716</c:v>
                </c:pt>
                <c:pt idx="47" formatCode="0.0">
                  <c:v>-11.267192000000005</c:v>
                </c:pt>
                <c:pt idx="48" formatCode="0.0">
                  <c:v>-11.238377600000003</c:v>
                </c:pt>
                <c:pt idx="49" formatCode="0.0">
                  <c:v>-11.177485714285716</c:v>
                </c:pt>
                <c:pt idx="50" formatCode="0.0">
                  <c:v>-11.1128</c:v>
                </c:pt>
                <c:pt idx="51" formatCode="0.0">
                  <c:v>-10.9872909</c:v>
                </c:pt>
                <c:pt idx="52" formatCode="0.0">
                  <c:v>-10.852</c:v>
                </c:pt>
                <c:pt idx="53" formatCode="0.0">
                  <c:v>-10.847999999999999</c:v>
                </c:pt>
                <c:pt idx="54" formatCode="0.0">
                  <c:v>-10.777875000000002</c:v>
                </c:pt>
                <c:pt idx="55" formatCode="0.0">
                  <c:v>-10.775182142857147</c:v>
                </c:pt>
                <c:pt idx="56" formatCode="0.0">
                  <c:v>-10.711731799999999</c:v>
                </c:pt>
                <c:pt idx="57" formatCode="0.0">
                  <c:v>-10.377333333333331</c:v>
                </c:pt>
                <c:pt idx="58" formatCode="0.0">
                  <c:v>-10.367848571428571</c:v>
                </c:pt>
                <c:pt idx="59">
                  <c:v>-10.321510000000004</c:v>
                </c:pt>
                <c:pt idx="60">
                  <c:v>-10.311936000000001</c:v>
                </c:pt>
                <c:pt idx="61" formatCode="0.0">
                  <c:v>-10.294705999999998</c:v>
                </c:pt>
                <c:pt idx="62" formatCode="0.0">
                  <c:v>-10.022660999999999</c:v>
                </c:pt>
                <c:pt idx="63" formatCode="0.0">
                  <c:v>-9.7255125000000024</c:v>
                </c:pt>
                <c:pt idx="64" formatCode="0.0">
                  <c:v>-9.6875742857142857</c:v>
                </c:pt>
                <c:pt idx="65" formatCode="0.0">
                  <c:v>-9.3962321428571443</c:v>
                </c:pt>
                <c:pt idx="66" formatCode="0.0">
                  <c:v>-9.3049109999999988</c:v>
                </c:pt>
                <c:pt idx="67" formatCode="0.0">
                  <c:v>-9.1844160000000006</c:v>
                </c:pt>
                <c:pt idx="68">
                  <c:v>-9.1182960000000008</c:v>
                </c:pt>
                <c:pt idx="69" formatCode="0.0">
                  <c:v>-9.0394003999999981</c:v>
                </c:pt>
                <c:pt idx="70" formatCode="0.0">
                  <c:v>-8.9898942857142927</c:v>
                </c:pt>
                <c:pt idx="71">
                  <c:v>-8.5338249999999984</c:v>
                </c:pt>
                <c:pt idx="72" formatCode="0.0">
                  <c:v>-8.3158949999999994</c:v>
                </c:pt>
                <c:pt idx="73" formatCode="0.0">
                  <c:v>-8.1774419047619133</c:v>
                </c:pt>
                <c:pt idx="74" formatCode="0.0">
                  <c:v>-8.0569319999999962</c:v>
                </c:pt>
                <c:pt idx="75">
                  <c:v>-7.8723639999999993</c:v>
                </c:pt>
                <c:pt idx="76" formatCode="0.0">
                  <c:v>-7.8697550000000014</c:v>
                </c:pt>
                <c:pt idx="77" formatCode="0.0">
                  <c:v>-7.7623100000000029</c:v>
                </c:pt>
                <c:pt idx="78">
                  <c:v>-7.6506019999999992</c:v>
                </c:pt>
                <c:pt idx="79" formatCode="0.0">
                  <c:v>-7.5599107142857136</c:v>
                </c:pt>
                <c:pt idx="80">
                  <c:v>-7.0605679999999982</c:v>
                </c:pt>
                <c:pt idx="81" formatCode="0.0">
                  <c:v>-6.7221214285714268</c:v>
                </c:pt>
                <c:pt idx="82">
                  <c:v>-6.6461870000000012</c:v>
                </c:pt>
                <c:pt idx="83">
                  <c:v>-6.1745599999999978</c:v>
                </c:pt>
                <c:pt idx="84">
                  <c:v>-5.7901110000000031</c:v>
                </c:pt>
                <c:pt idx="85">
                  <c:v>-5.6428160000000016</c:v>
                </c:pt>
                <c:pt idx="86" formatCode="0.0">
                  <c:v>-5.5716900000000038</c:v>
                </c:pt>
                <c:pt idx="87">
                  <c:v>-5.4729919999999979</c:v>
                </c:pt>
                <c:pt idx="88" formatCode="0.0">
                  <c:v>-5.4111750000000001</c:v>
                </c:pt>
                <c:pt idx="89" formatCode="0.0">
                  <c:v>-5.3963549000000057</c:v>
                </c:pt>
                <c:pt idx="90">
                  <c:v>-5.393787200000002</c:v>
                </c:pt>
                <c:pt idx="91">
                  <c:v>-4.7694230000000015</c:v>
                </c:pt>
                <c:pt idx="92" formatCode="0.0">
                  <c:v>-4.738578000000004</c:v>
                </c:pt>
                <c:pt idx="93">
                  <c:v>-4.6841977999999926</c:v>
                </c:pt>
                <c:pt idx="94">
                  <c:v>-4.6458307999999988</c:v>
                </c:pt>
                <c:pt idx="95" formatCode="0.0">
                  <c:v>-4.5960720000000066</c:v>
                </c:pt>
                <c:pt idx="96" formatCode="0.0">
                  <c:v>-4.3010742857142858</c:v>
                </c:pt>
                <c:pt idx="97">
                  <c:v>-4.0558479999999992</c:v>
                </c:pt>
                <c:pt idx="98" formatCode="0.0">
                  <c:v>-3.9718095238095259</c:v>
                </c:pt>
                <c:pt idx="99">
                  <c:v>-3.9107319999999994</c:v>
                </c:pt>
                <c:pt idx="100">
                  <c:v>-3.8528779999999987</c:v>
                </c:pt>
                <c:pt idx="101" formatCode="0.0">
                  <c:v>-3.6071428571428541</c:v>
                </c:pt>
                <c:pt idx="102" formatCode="0.0">
                  <c:v>-3.4769523809523797</c:v>
                </c:pt>
                <c:pt idx="103">
                  <c:v>-3.3279199999999989</c:v>
                </c:pt>
                <c:pt idx="104" formatCode="0.0">
                  <c:v>-3.0470285714285765</c:v>
                </c:pt>
                <c:pt idx="105">
                  <c:v>-2.903956799999996</c:v>
                </c:pt>
                <c:pt idx="106" formatCode="0.0">
                  <c:v>-2.6584964285714285</c:v>
                </c:pt>
                <c:pt idx="107">
                  <c:v>-2.5242999999999984</c:v>
                </c:pt>
                <c:pt idx="108" formatCode="0.0">
                  <c:v>-2.4520107142857128</c:v>
                </c:pt>
                <c:pt idx="109" formatCode="0.0">
                  <c:v>-2.266737500000005</c:v>
                </c:pt>
                <c:pt idx="110">
                  <c:v>-2.2407680000000028</c:v>
                </c:pt>
                <c:pt idx="111">
                  <c:v>-2.2091000000000012</c:v>
                </c:pt>
                <c:pt idx="112">
                  <c:v>-2.196137000000002</c:v>
                </c:pt>
                <c:pt idx="113">
                  <c:v>-2.0385799999999996</c:v>
                </c:pt>
                <c:pt idx="114">
                  <c:v>-2.0351399999999984</c:v>
                </c:pt>
                <c:pt idx="115" formatCode="0.0">
                  <c:v>-1.971114285714286</c:v>
                </c:pt>
                <c:pt idx="116" formatCode="0.0">
                  <c:v>-1.8927250000000058</c:v>
                </c:pt>
                <c:pt idx="117">
                  <c:v>-1.8457250000000016</c:v>
                </c:pt>
                <c:pt idx="118" formatCode="0.0">
                  <c:v>-1.4151131428571446</c:v>
                </c:pt>
                <c:pt idx="119" formatCode="0.0">
                  <c:v>-1.3684057142857071</c:v>
                </c:pt>
                <c:pt idx="120">
                  <c:v>-1.3303130000000003</c:v>
                </c:pt>
                <c:pt idx="121">
                  <c:v>-1.2455750000000005</c:v>
                </c:pt>
                <c:pt idx="122" formatCode="0.0">
                  <c:v>-1.2396714285714339</c:v>
                </c:pt>
                <c:pt idx="123">
                  <c:v>-1.1448060000000027</c:v>
                </c:pt>
                <c:pt idx="124">
                  <c:v>-1.1034159999999993</c:v>
                </c:pt>
                <c:pt idx="125" formatCode="0.0">
                  <c:v>-0.96984240000000099</c:v>
                </c:pt>
                <c:pt idx="126">
                  <c:v>-0.91262600000000127</c:v>
                </c:pt>
                <c:pt idx="127" formatCode="0.0">
                  <c:v>-0.7578060000000022</c:v>
                </c:pt>
                <c:pt idx="128" formatCode="0.0">
                  <c:v>-0.46057142857142708</c:v>
                </c:pt>
                <c:pt idx="129">
                  <c:v>-0.37413600000000002</c:v>
                </c:pt>
                <c:pt idx="130" formatCode="0.0">
                  <c:v>-0.33643333333334269</c:v>
                </c:pt>
                <c:pt idx="131" formatCode="0.0">
                  <c:v>0.21624600000000171</c:v>
                </c:pt>
                <c:pt idx="132">
                  <c:v>0.30696959999999152</c:v>
                </c:pt>
                <c:pt idx="133">
                  <c:v>0.64756240000000176</c:v>
                </c:pt>
                <c:pt idx="134" formatCode="0.0">
                  <c:v>0.71371428571428552</c:v>
                </c:pt>
                <c:pt idx="135" formatCode="0.0">
                  <c:v>0.81802500000000222</c:v>
                </c:pt>
                <c:pt idx="136">
                  <c:v>0.82341899999999768</c:v>
                </c:pt>
                <c:pt idx="137">
                  <c:v>1.0399159999999998</c:v>
                </c:pt>
                <c:pt idx="138" formatCode="0.0">
                  <c:v>1.0658223999999947</c:v>
                </c:pt>
                <c:pt idx="139" formatCode="0.0">
                  <c:v>1.3253428571428572</c:v>
                </c:pt>
                <c:pt idx="140" formatCode="0.0">
                  <c:v>1.5629714285714229</c:v>
                </c:pt>
                <c:pt idx="141" formatCode="0.0">
                  <c:v>2.0422857142857112</c:v>
                </c:pt>
                <c:pt idx="142" formatCode="0.0">
                  <c:v>2.2384761904761952</c:v>
                </c:pt>
                <c:pt idx="143" formatCode="0.0">
                  <c:v>2.4436666666666689</c:v>
                </c:pt>
                <c:pt idx="144" formatCode="0.0">
                  <c:v>2.5060799999999972</c:v>
                </c:pt>
                <c:pt idx="145" formatCode="0.0">
                  <c:v>2.5986960714285718</c:v>
                </c:pt>
                <c:pt idx="146" formatCode="0.0">
                  <c:v>2.710714285714289</c:v>
                </c:pt>
                <c:pt idx="147" formatCode="0.0">
                  <c:v>2.8734000000000002</c:v>
                </c:pt>
                <c:pt idx="148">
                  <c:v>2.9021140000000045</c:v>
                </c:pt>
                <c:pt idx="149" formatCode="0.0">
                  <c:v>3.2235750000000003</c:v>
                </c:pt>
                <c:pt idx="150">
                  <c:v>3.3422629999999991</c:v>
                </c:pt>
                <c:pt idx="151" formatCode="0.0">
                  <c:v>3.3442607142857099</c:v>
                </c:pt>
                <c:pt idx="152" formatCode="0.0">
                  <c:v>3.6495719999999992</c:v>
                </c:pt>
                <c:pt idx="153" formatCode="0.0">
                  <c:v>3.8074720000000006</c:v>
                </c:pt>
                <c:pt idx="154">
                  <c:v>3.8464749999999981</c:v>
                </c:pt>
                <c:pt idx="155">
                  <c:v>4.0426000000000002</c:v>
                </c:pt>
                <c:pt idx="156" formatCode="0.0">
                  <c:v>4.0630476190476195</c:v>
                </c:pt>
                <c:pt idx="157">
                  <c:v>4.1621720000000018</c:v>
                </c:pt>
                <c:pt idx="158" formatCode="0.0">
                  <c:v>4.2965587000000056</c:v>
                </c:pt>
                <c:pt idx="159" formatCode="0.0">
                  <c:v>4.596127000000001</c:v>
                </c:pt>
                <c:pt idx="160" formatCode="0.0">
                  <c:v>4.6775589999999987</c:v>
                </c:pt>
                <c:pt idx="161" formatCode="0.0">
                  <c:v>4.8074714285714322</c:v>
                </c:pt>
                <c:pt idx="162">
                  <c:v>4.9602341999999986</c:v>
                </c:pt>
                <c:pt idx="163" formatCode="0.0">
                  <c:v>5.4398714285714256</c:v>
                </c:pt>
                <c:pt idx="164" formatCode="0.0">
                  <c:v>5.6872103571428561</c:v>
                </c:pt>
                <c:pt idx="165" formatCode="0.0">
                  <c:v>5.7105657142857176</c:v>
                </c:pt>
                <c:pt idx="166">
                  <c:v>5.7579024000000025</c:v>
                </c:pt>
                <c:pt idx="167" formatCode="0.0">
                  <c:v>5.8028964285714295</c:v>
                </c:pt>
                <c:pt idx="168" formatCode="0.0">
                  <c:v>5.9838821428571407</c:v>
                </c:pt>
                <c:pt idx="169" formatCode="0.0">
                  <c:v>6.1481199999999987</c:v>
                </c:pt>
                <c:pt idx="170" formatCode="0.0">
                  <c:v>6.2399107142857133</c:v>
                </c:pt>
                <c:pt idx="171" formatCode="0.0">
                  <c:v>6.4381419999999991</c:v>
                </c:pt>
                <c:pt idx="172">
                  <c:v>6.5453719999999969</c:v>
                </c:pt>
                <c:pt idx="173">
                  <c:v>6.9810875999999951</c:v>
                </c:pt>
                <c:pt idx="174" formatCode="0.0">
                  <c:v>7.0720659999999995</c:v>
                </c:pt>
                <c:pt idx="175" formatCode="0.0">
                  <c:v>7.2449335714285645</c:v>
                </c:pt>
                <c:pt idx="176" formatCode="0.0">
                  <c:v>7.3299242857142808</c:v>
                </c:pt>
                <c:pt idx="177" formatCode="0.0">
                  <c:v>7.3350285714285661</c:v>
                </c:pt>
                <c:pt idx="178">
                  <c:v>7.7555900000000015</c:v>
                </c:pt>
                <c:pt idx="179" formatCode="0.0">
                  <c:v>7.8278571428571411</c:v>
                </c:pt>
                <c:pt idx="180" formatCode="0.0">
                  <c:v>7.9915680000000009</c:v>
                </c:pt>
                <c:pt idx="181">
                  <c:v>8.0543559999999985</c:v>
                </c:pt>
                <c:pt idx="182" formatCode="0.0">
                  <c:v>8.0606499999999954</c:v>
                </c:pt>
                <c:pt idx="183" formatCode="0.0">
                  <c:v>8.1483485714285706</c:v>
                </c:pt>
                <c:pt idx="184" formatCode="0.0">
                  <c:v>8.1594761904761874</c:v>
                </c:pt>
                <c:pt idx="185" formatCode="0.0">
                  <c:v>8.2006299999999985</c:v>
                </c:pt>
                <c:pt idx="186" formatCode="0.0">
                  <c:v>8.2476590476190523</c:v>
                </c:pt>
                <c:pt idx="187" formatCode="0.0">
                  <c:v>8.417781999999999</c:v>
                </c:pt>
                <c:pt idx="188" formatCode="0.0">
                  <c:v>8.4425066666666595</c:v>
                </c:pt>
                <c:pt idx="189">
                  <c:v>8.7854320000000001</c:v>
                </c:pt>
                <c:pt idx="190" formatCode="0.0">
                  <c:v>8.8579559999999979</c:v>
                </c:pt>
                <c:pt idx="191" formatCode="0.0">
                  <c:v>9.128286785714284</c:v>
                </c:pt>
                <c:pt idx="192" formatCode="0.0">
                  <c:v>9.191831999999998</c:v>
                </c:pt>
                <c:pt idx="193" formatCode="0.0">
                  <c:v>9.3740142857142814</c:v>
                </c:pt>
                <c:pt idx="194" formatCode="0.0">
                  <c:v>9.5403178571428597</c:v>
                </c:pt>
                <c:pt idx="195">
                  <c:v>9.7120800000000003</c:v>
                </c:pt>
                <c:pt idx="196" formatCode="0.0">
                  <c:v>10.054600000000001</c:v>
                </c:pt>
                <c:pt idx="197" formatCode="0.0">
                  <c:v>10.138032000000003</c:v>
                </c:pt>
                <c:pt idx="198" formatCode="0.0">
                  <c:v>10.334242857142854</c:v>
                </c:pt>
                <c:pt idx="199">
                  <c:v>10.376063999999998</c:v>
                </c:pt>
                <c:pt idx="200" formatCode="0.0">
                  <c:v>11.090592499999998</c:v>
                </c:pt>
                <c:pt idx="201" formatCode="0.0">
                  <c:v>11.302614000000002</c:v>
                </c:pt>
                <c:pt idx="202">
                  <c:v>11.638955999999999</c:v>
                </c:pt>
                <c:pt idx="203">
                  <c:v>12.098268000000001</c:v>
                </c:pt>
                <c:pt idx="204" formatCode="0.0">
                  <c:v>12.19023428571429</c:v>
                </c:pt>
                <c:pt idx="205">
                  <c:v>12.728370000000002</c:v>
                </c:pt>
                <c:pt idx="206" formatCode="0.0">
                  <c:v>12.834052199999999</c:v>
                </c:pt>
                <c:pt idx="207" formatCode="0.0">
                  <c:v>12.8688</c:v>
                </c:pt>
                <c:pt idx="208">
                  <c:v>13.061382399999999</c:v>
                </c:pt>
                <c:pt idx="209">
                  <c:v>13.318838999999997</c:v>
                </c:pt>
                <c:pt idx="210">
                  <c:v>13.502214000000002</c:v>
                </c:pt>
                <c:pt idx="211">
                  <c:v>13.935733999999998</c:v>
                </c:pt>
                <c:pt idx="212">
                  <c:v>14.189274000000001</c:v>
                </c:pt>
                <c:pt idx="213" formatCode="0.0">
                  <c:v>14.258364285714286</c:v>
                </c:pt>
                <c:pt idx="214">
                  <c:v>14.318730000000002</c:v>
                </c:pt>
                <c:pt idx="215">
                  <c:v>15.178473999999996</c:v>
                </c:pt>
                <c:pt idx="216" formatCode="0.0">
                  <c:v>15.323583999999997</c:v>
                </c:pt>
                <c:pt idx="217" formatCode="0.0">
                  <c:v>15.438457142857143</c:v>
                </c:pt>
                <c:pt idx="218" formatCode="0.0">
                  <c:v>15.504552</c:v>
                </c:pt>
                <c:pt idx="219" formatCode="0.0">
                  <c:v>16.162032000000004</c:v>
                </c:pt>
                <c:pt idx="220">
                  <c:v>16.247520000000002</c:v>
                </c:pt>
                <c:pt idx="221">
                  <c:v>16.530437999999997</c:v>
                </c:pt>
                <c:pt idx="222" formatCode="0.0">
                  <c:v>16.645647619047622</c:v>
                </c:pt>
                <c:pt idx="223" formatCode="0.0">
                  <c:v>17.83248571428571</c:v>
                </c:pt>
                <c:pt idx="224" formatCode="0.0">
                  <c:v>17.894550000000002</c:v>
                </c:pt>
                <c:pt idx="225" formatCode="0.0">
                  <c:v>18.711285714285715</c:v>
                </c:pt>
                <c:pt idx="226" formatCode="0.0">
                  <c:v>18.761998000000006</c:v>
                </c:pt>
                <c:pt idx="227" formatCode="0.0">
                  <c:v>18.772510476190483</c:v>
                </c:pt>
                <c:pt idx="228" formatCode="0.0">
                  <c:v>19.137664000000001</c:v>
                </c:pt>
                <c:pt idx="229">
                  <c:v>19.607503999999999</c:v>
                </c:pt>
                <c:pt idx="230">
                  <c:v>19.809999999999999</c:v>
                </c:pt>
                <c:pt idx="231" formatCode="0.0">
                  <c:v>19.837190476190479</c:v>
                </c:pt>
                <c:pt idx="232">
                  <c:v>20.118352599999998</c:v>
                </c:pt>
                <c:pt idx="233" formatCode="0.0">
                  <c:v>20.675475999999993</c:v>
                </c:pt>
                <c:pt idx="234" formatCode="0.0">
                  <c:v>20.986428571428576</c:v>
                </c:pt>
                <c:pt idx="235" formatCode="0.0">
                  <c:v>21.127857142857149</c:v>
                </c:pt>
                <c:pt idx="236">
                  <c:v>21.823682000000002</c:v>
                </c:pt>
                <c:pt idx="237" formatCode="0.0">
                  <c:v>22.692070857142852</c:v>
                </c:pt>
                <c:pt idx="238" formatCode="0.0">
                  <c:v>22.956238571428571</c:v>
                </c:pt>
                <c:pt idx="239" formatCode="0.0">
                  <c:v>22.97491071428572</c:v>
                </c:pt>
                <c:pt idx="240" formatCode="0.0">
                  <c:v>24.329419642857147</c:v>
                </c:pt>
                <c:pt idx="241" formatCode="0.0">
                  <c:v>24.354369999999999</c:v>
                </c:pt>
                <c:pt idx="242" formatCode="0.0">
                  <c:v>25.100260357142862</c:v>
                </c:pt>
                <c:pt idx="243" formatCode="0.0">
                  <c:v>25.401502000000004</c:v>
                </c:pt>
                <c:pt idx="244" formatCode="0.0">
                  <c:v>26.22748</c:v>
                </c:pt>
                <c:pt idx="245" formatCode="0.0">
                  <c:v>26.615500000000004</c:v>
                </c:pt>
                <c:pt idx="246" formatCode="0.0">
                  <c:v>27.132280000000002</c:v>
                </c:pt>
                <c:pt idx="247" formatCode="0.0">
                  <c:v>27.265564285714284</c:v>
                </c:pt>
                <c:pt idx="248" formatCode="0.0">
                  <c:v>27.671771428571429</c:v>
                </c:pt>
                <c:pt idx="249">
                  <c:v>28.656598000000002</c:v>
                </c:pt>
                <c:pt idx="250" formatCode="0.0">
                  <c:v>29.40307142857143</c:v>
                </c:pt>
                <c:pt idx="251">
                  <c:v>30.348483999999999</c:v>
                </c:pt>
                <c:pt idx="252" formatCode="0.0">
                  <c:v>33.252320971428574</c:v>
                </c:pt>
                <c:pt idx="253" formatCode="0.0">
                  <c:v>33.701234342857148</c:v>
                </c:pt>
                <c:pt idx="254">
                  <c:v>34.882664000000005</c:v>
                </c:pt>
                <c:pt idx="255">
                  <c:v>37.380475999999994</c:v>
                </c:pt>
                <c:pt idx="256">
                  <c:v>49.221928000000005</c:v>
                </c:pt>
                <c:pt idx="257">
                  <c:v>51.150888999999999</c:v>
                </c:pt>
                <c:pt idx="258">
                  <c:v>57.719692999999992</c:v>
                </c:pt>
                <c:pt idx="259">
                  <c:v>58.819679000000001</c:v>
                </c:pt>
              </c:numCache>
            </c:numRef>
          </c:xVal>
          <c:yVal>
            <c:numRef>
              <c:f>'Graficos balance'!$N$449:$N$708</c:f>
              <c:numCache>
                <c:formatCode>General</c:formatCode>
                <c:ptCount val="260"/>
                <c:pt idx="0">
                  <c:v>5.9</c:v>
                </c:pt>
                <c:pt idx="1">
                  <c:v>2.9</c:v>
                </c:pt>
                <c:pt idx="2">
                  <c:v>3.3</c:v>
                </c:pt>
                <c:pt idx="3">
                  <c:v>3.8</c:v>
                </c:pt>
                <c:pt idx="4">
                  <c:v>7.3</c:v>
                </c:pt>
                <c:pt idx="5">
                  <c:v>6.3</c:v>
                </c:pt>
                <c:pt idx="6">
                  <c:v>7.4</c:v>
                </c:pt>
                <c:pt idx="7">
                  <c:v>7.3</c:v>
                </c:pt>
                <c:pt idx="8">
                  <c:v>8.6999999999999993</c:v>
                </c:pt>
                <c:pt idx="9">
                  <c:v>6.6</c:v>
                </c:pt>
                <c:pt idx="10">
                  <c:v>8.6999999999999993</c:v>
                </c:pt>
                <c:pt idx="11">
                  <c:v>10.4</c:v>
                </c:pt>
                <c:pt idx="12">
                  <c:v>8.1</c:v>
                </c:pt>
                <c:pt idx="13">
                  <c:v>6.5</c:v>
                </c:pt>
                <c:pt idx="14">
                  <c:v>4.3</c:v>
                </c:pt>
                <c:pt idx="15">
                  <c:v>7.4</c:v>
                </c:pt>
                <c:pt idx="16">
                  <c:v>4.3</c:v>
                </c:pt>
                <c:pt idx="17">
                  <c:v>4.0999999999999996</c:v>
                </c:pt>
                <c:pt idx="18">
                  <c:v>7.5</c:v>
                </c:pt>
                <c:pt idx="19">
                  <c:v>4.0999999999999996</c:v>
                </c:pt>
                <c:pt idx="20">
                  <c:v>6.4</c:v>
                </c:pt>
                <c:pt idx="21">
                  <c:v>5.2</c:v>
                </c:pt>
                <c:pt idx="22" formatCode="0.0">
                  <c:v>6.3</c:v>
                </c:pt>
                <c:pt idx="23">
                  <c:v>3.4</c:v>
                </c:pt>
                <c:pt idx="24">
                  <c:v>4.7</c:v>
                </c:pt>
                <c:pt idx="25" formatCode="0.0">
                  <c:v>6.4</c:v>
                </c:pt>
                <c:pt idx="26">
                  <c:v>3.6</c:v>
                </c:pt>
                <c:pt idx="27">
                  <c:v>4.8</c:v>
                </c:pt>
                <c:pt idx="28">
                  <c:v>4.9000000000000004</c:v>
                </c:pt>
                <c:pt idx="29">
                  <c:v>5</c:v>
                </c:pt>
                <c:pt idx="30">
                  <c:v>5.2</c:v>
                </c:pt>
                <c:pt idx="31">
                  <c:v>3.8</c:v>
                </c:pt>
                <c:pt idx="32">
                  <c:v>7.6</c:v>
                </c:pt>
                <c:pt idx="33">
                  <c:v>5.6</c:v>
                </c:pt>
                <c:pt idx="34">
                  <c:v>5</c:v>
                </c:pt>
                <c:pt idx="35">
                  <c:v>7</c:v>
                </c:pt>
                <c:pt idx="36">
                  <c:v>5.3</c:v>
                </c:pt>
                <c:pt idx="37">
                  <c:v>6.2</c:v>
                </c:pt>
                <c:pt idx="38">
                  <c:v>9.3000000000000007</c:v>
                </c:pt>
                <c:pt idx="39">
                  <c:v>4.4000000000000004</c:v>
                </c:pt>
                <c:pt idx="40" formatCode="0.0">
                  <c:v>5.4</c:v>
                </c:pt>
                <c:pt idx="41">
                  <c:v>7.7</c:v>
                </c:pt>
                <c:pt idx="42">
                  <c:v>7</c:v>
                </c:pt>
                <c:pt idx="43">
                  <c:v>4.0999999999999996</c:v>
                </c:pt>
                <c:pt idx="44">
                  <c:v>6.6</c:v>
                </c:pt>
                <c:pt idx="45">
                  <c:v>5.8</c:v>
                </c:pt>
                <c:pt idx="46">
                  <c:v>3.6</c:v>
                </c:pt>
                <c:pt idx="47">
                  <c:v>8.3000000000000007</c:v>
                </c:pt>
                <c:pt idx="48">
                  <c:v>7.1</c:v>
                </c:pt>
                <c:pt idx="49">
                  <c:v>4.3</c:v>
                </c:pt>
                <c:pt idx="50">
                  <c:v>5.0999999999999996</c:v>
                </c:pt>
                <c:pt idx="51">
                  <c:v>11.1</c:v>
                </c:pt>
                <c:pt idx="52">
                  <c:v>5.5</c:v>
                </c:pt>
                <c:pt idx="53">
                  <c:v>5.8</c:v>
                </c:pt>
                <c:pt idx="54">
                  <c:v>7.6</c:v>
                </c:pt>
                <c:pt idx="55">
                  <c:v>8</c:v>
                </c:pt>
                <c:pt idx="56">
                  <c:v>6.5</c:v>
                </c:pt>
                <c:pt idx="57">
                  <c:v>6</c:v>
                </c:pt>
                <c:pt idx="58">
                  <c:v>7.3</c:v>
                </c:pt>
                <c:pt idx="59">
                  <c:v>12.6</c:v>
                </c:pt>
                <c:pt idx="60" formatCode="0.0">
                  <c:v>5.2</c:v>
                </c:pt>
                <c:pt idx="61">
                  <c:v>7.9</c:v>
                </c:pt>
                <c:pt idx="62">
                  <c:v>5</c:v>
                </c:pt>
                <c:pt idx="63">
                  <c:v>3.7</c:v>
                </c:pt>
                <c:pt idx="64">
                  <c:v>3.7</c:v>
                </c:pt>
                <c:pt idx="65">
                  <c:v>9.1</c:v>
                </c:pt>
                <c:pt idx="66">
                  <c:v>6.2</c:v>
                </c:pt>
                <c:pt idx="67">
                  <c:v>6.4</c:v>
                </c:pt>
                <c:pt idx="68">
                  <c:v>5.2</c:v>
                </c:pt>
                <c:pt idx="69">
                  <c:v>8</c:v>
                </c:pt>
                <c:pt idx="70">
                  <c:v>5.4</c:v>
                </c:pt>
                <c:pt idx="71" formatCode="0.0">
                  <c:v>19.399999999999999</c:v>
                </c:pt>
                <c:pt idx="72">
                  <c:v>7.2</c:v>
                </c:pt>
                <c:pt idx="73">
                  <c:v>13.5</c:v>
                </c:pt>
                <c:pt idx="74">
                  <c:v>10.7</c:v>
                </c:pt>
                <c:pt idx="75">
                  <c:v>10.199999999999999</c:v>
                </c:pt>
                <c:pt idx="76">
                  <c:v>5.7</c:v>
                </c:pt>
                <c:pt idx="77">
                  <c:v>7.2</c:v>
                </c:pt>
                <c:pt idx="78">
                  <c:v>14.7</c:v>
                </c:pt>
                <c:pt idx="79">
                  <c:v>10.1</c:v>
                </c:pt>
                <c:pt idx="80">
                  <c:v>11.7</c:v>
                </c:pt>
                <c:pt idx="81">
                  <c:v>10.3</c:v>
                </c:pt>
                <c:pt idx="82">
                  <c:v>12.5</c:v>
                </c:pt>
                <c:pt idx="83" formatCode="0.0">
                  <c:v>11.9</c:v>
                </c:pt>
                <c:pt idx="84">
                  <c:v>6.6</c:v>
                </c:pt>
                <c:pt idx="85">
                  <c:v>7.6</c:v>
                </c:pt>
                <c:pt idx="86">
                  <c:v>15.8</c:v>
                </c:pt>
                <c:pt idx="87" formatCode="0.0">
                  <c:v>11.4</c:v>
                </c:pt>
                <c:pt idx="88">
                  <c:v>15.4</c:v>
                </c:pt>
                <c:pt idx="89">
                  <c:v>23.8</c:v>
                </c:pt>
                <c:pt idx="90">
                  <c:v>7.8</c:v>
                </c:pt>
                <c:pt idx="91">
                  <c:v>9</c:v>
                </c:pt>
                <c:pt idx="92">
                  <c:v>10.9</c:v>
                </c:pt>
                <c:pt idx="93">
                  <c:v>6.6</c:v>
                </c:pt>
                <c:pt idx="94">
                  <c:v>8.6</c:v>
                </c:pt>
                <c:pt idx="95">
                  <c:v>7</c:v>
                </c:pt>
                <c:pt idx="96">
                  <c:v>5.5</c:v>
                </c:pt>
                <c:pt idx="97">
                  <c:v>15.3</c:v>
                </c:pt>
                <c:pt idx="98">
                  <c:v>8.9</c:v>
                </c:pt>
                <c:pt idx="99" formatCode="0.0">
                  <c:v>18.600000000000001</c:v>
                </c:pt>
                <c:pt idx="100" formatCode="0.0">
                  <c:v>19</c:v>
                </c:pt>
                <c:pt idx="101">
                  <c:v>9.5</c:v>
                </c:pt>
                <c:pt idx="102">
                  <c:v>7.6</c:v>
                </c:pt>
                <c:pt idx="103" formatCode="0.0">
                  <c:v>14.7</c:v>
                </c:pt>
                <c:pt idx="104">
                  <c:v>14.6</c:v>
                </c:pt>
                <c:pt idx="105">
                  <c:v>12.4</c:v>
                </c:pt>
                <c:pt idx="106">
                  <c:v>10.8</c:v>
                </c:pt>
                <c:pt idx="107">
                  <c:v>13</c:v>
                </c:pt>
                <c:pt idx="108">
                  <c:v>8.9</c:v>
                </c:pt>
                <c:pt idx="109">
                  <c:v>6.5</c:v>
                </c:pt>
                <c:pt idx="110" formatCode="0.0">
                  <c:v>9.3000000000000007</c:v>
                </c:pt>
                <c:pt idx="111">
                  <c:v>10.9</c:v>
                </c:pt>
                <c:pt idx="112">
                  <c:v>7.9</c:v>
                </c:pt>
                <c:pt idx="113" formatCode="0.0">
                  <c:v>18.600000000000001</c:v>
                </c:pt>
                <c:pt idx="114">
                  <c:v>9.3000000000000007</c:v>
                </c:pt>
                <c:pt idx="115">
                  <c:v>7.2</c:v>
                </c:pt>
                <c:pt idx="116">
                  <c:v>8.9</c:v>
                </c:pt>
                <c:pt idx="117">
                  <c:v>11</c:v>
                </c:pt>
                <c:pt idx="118">
                  <c:v>10.3</c:v>
                </c:pt>
                <c:pt idx="119">
                  <c:v>5.6</c:v>
                </c:pt>
                <c:pt idx="120">
                  <c:v>7.3</c:v>
                </c:pt>
                <c:pt idx="121" formatCode="0.0">
                  <c:v>14</c:v>
                </c:pt>
                <c:pt idx="122">
                  <c:v>10</c:v>
                </c:pt>
                <c:pt idx="123">
                  <c:v>10</c:v>
                </c:pt>
                <c:pt idx="124" formatCode="0.0">
                  <c:v>21.9</c:v>
                </c:pt>
                <c:pt idx="125">
                  <c:v>11.9</c:v>
                </c:pt>
                <c:pt idx="126" formatCode="0.0">
                  <c:v>9.3000000000000007</c:v>
                </c:pt>
                <c:pt idx="127">
                  <c:v>9.1999999999999993</c:v>
                </c:pt>
                <c:pt idx="128">
                  <c:v>21.8</c:v>
                </c:pt>
                <c:pt idx="129">
                  <c:v>10.5</c:v>
                </c:pt>
                <c:pt idx="130">
                  <c:v>8.6</c:v>
                </c:pt>
                <c:pt idx="131">
                  <c:v>6.4</c:v>
                </c:pt>
                <c:pt idx="132">
                  <c:v>20.399999999999999</c:v>
                </c:pt>
                <c:pt idx="133">
                  <c:v>7.7</c:v>
                </c:pt>
                <c:pt idx="134">
                  <c:v>13</c:v>
                </c:pt>
                <c:pt idx="135">
                  <c:v>12.9</c:v>
                </c:pt>
                <c:pt idx="136">
                  <c:v>11.3</c:v>
                </c:pt>
                <c:pt idx="137">
                  <c:v>11.9</c:v>
                </c:pt>
                <c:pt idx="138">
                  <c:v>23.6</c:v>
                </c:pt>
                <c:pt idx="139">
                  <c:v>11</c:v>
                </c:pt>
                <c:pt idx="140">
                  <c:v>8.5</c:v>
                </c:pt>
                <c:pt idx="141">
                  <c:v>16.3</c:v>
                </c:pt>
                <c:pt idx="142">
                  <c:v>8.9</c:v>
                </c:pt>
                <c:pt idx="143">
                  <c:v>12.8</c:v>
                </c:pt>
                <c:pt idx="144">
                  <c:v>8.4</c:v>
                </c:pt>
                <c:pt idx="145">
                  <c:v>6.9</c:v>
                </c:pt>
                <c:pt idx="146">
                  <c:v>11.5</c:v>
                </c:pt>
                <c:pt idx="147">
                  <c:v>10.3</c:v>
                </c:pt>
                <c:pt idx="148">
                  <c:v>21.5</c:v>
                </c:pt>
                <c:pt idx="149">
                  <c:v>12.7</c:v>
                </c:pt>
                <c:pt idx="150">
                  <c:v>9.6999999999999993</c:v>
                </c:pt>
                <c:pt idx="151">
                  <c:v>12.5</c:v>
                </c:pt>
                <c:pt idx="152">
                  <c:v>8.9</c:v>
                </c:pt>
                <c:pt idx="153">
                  <c:v>9.1</c:v>
                </c:pt>
                <c:pt idx="154">
                  <c:v>7.3</c:v>
                </c:pt>
                <c:pt idx="155">
                  <c:v>9.6999999999999993</c:v>
                </c:pt>
                <c:pt idx="156">
                  <c:v>14</c:v>
                </c:pt>
                <c:pt idx="157" formatCode="0.0">
                  <c:v>14.5</c:v>
                </c:pt>
                <c:pt idx="158">
                  <c:v>16.7</c:v>
                </c:pt>
                <c:pt idx="159">
                  <c:v>11.8</c:v>
                </c:pt>
                <c:pt idx="160">
                  <c:v>13.9</c:v>
                </c:pt>
                <c:pt idx="161">
                  <c:v>12</c:v>
                </c:pt>
                <c:pt idx="162">
                  <c:v>11.3</c:v>
                </c:pt>
                <c:pt idx="163">
                  <c:v>13.3</c:v>
                </c:pt>
                <c:pt idx="164">
                  <c:v>9.8000000000000007</c:v>
                </c:pt>
                <c:pt idx="165">
                  <c:v>7.6</c:v>
                </c:pt>
                <c:pt idx="166">
                  <c:v>13.5</c:v>
                </c:pt>
                <c:pt idx="167">
                  <c:v>16.5</c:v>
                </c:pt>
                <c:pt idx="168">
                  <c:v>13.3</c:v>
                </c:pt>
                <c:pt idx="169">
                  <c:v>9.8000000000000007</c:v>
                </c:pt>
                <c:pt idx="170">
                  <c:v>12.2</c:v>
                </c:pt>
                <c:pt idx="171">
                  <c:v>14.7</c:v>
                </c:pt>
                <c:pt idx="172">
                  <c:v>10.199999999999999</c:v>
                </c:pt>
                <c:pt idx="173">
                  <c:v>14.7</c:v>
                </c:pt>
                <c:pt idx="174">
                  <c:v>10.9</c:v>
                </c:pt>
                <c:pt idx="175">
                  <c:v>19.7</c:v>
                </c:pt>
                <c:pt idx="176">
                  <c:v>12.4</c:v>
                </c:pt>
                <c:pt idx="177">
                  <c:v>11.5</c:v>
                </c:pt>
                <c:pt idx="178">
                  <c:v>6.4</c:v>
                </c:pt>
                <c:pt idx="179">
                  <c:v>14.9</c:v>
                </c:pt>
                <c:pt idx="180">
                  <c:v>7.9</c:v>
                </c:pt>
                <c:pt idx="181">
                  <c:v>7.5</c:v>
                </c:pt>
                <c:pt idx="182">
                  <c:v>9.9</c:v>
                </c:pt>
                <c:pt idx="183">
                  <c:v>19.399999999999999</c:v>
                </c:pt>
                <c:pt idx="184">
                  <c:v>36.700000000000003</c:v>
                </c:pt>
                <c:pt idx="185">
                  <c:v>11.4</c:v>
                </c:pt>
                <c:pt idx="186">
                  <c:v>15.2</c:v>
                </c:pt>
                <c:pt idx="187">
                  <c:v>13.2</c:v>
                </c:pt>
                <c:pt idx="188">
                  <c:v>16.5</c:v>
                </c:pt>
                <c:pt idx="189">
                  <c:v>9.1</c:v>
                </c:pt>
                <c:pt idx="190">
                  <c:v>12.4</c:v>
                </c:pt>
                <c:pt idx="191">
                  <c:v>10.199999999999999</c:v>
                </c:pt>
                <c:pt idx="192">
                  <c:v>18.899999999999999</c:v>
                </c:pt>
                <c:pt idx="193">
                  <c:v>23.9</c:v>
                </c:pt>
                <c:pt idx="194">
                  <c:v>13.7</c:v>
                </c:pt>
                <c:pt idx="195" formatCode="0.0">
                  <c:v>27.5</c:v>
                </c:pt>
                <c:pt idx="196">
                  <c:v>13.3</c:v>
                </c:pt>
                <c:pt idx="197">
                  <c:v>12</c:v>
                </c:pt>
                <c:pt idx="198">
                  <c:v>9.9</c:v>
                </c:pt>
                <c:pt idx="199" formatCode="0.0">
                  <c:v>16.8</c:v>
                </c:pt>
                <c:pt idx="200">
                  <c:v>12.8</c:v>
                </c:pt>
                <c:pt idx="201">
                  <c:v>12.8</c:v>
                </c:pt>
                <c:pt idx="202">
                  <c:v>16.3</c:v>
                </c:pt>
                <c:pt idx="203">
                  <c:v>10.4</c:v>
                </c:pt>
                <c:pt idx="204">
                  <c:v>27.7</c:v>
                </c:pt>
                <c:pt idx="205">
                  <c:v>19.3</c:v>
                </c:pt>
                <c:pt idx="206">
                  <c:v>14.8</c:v>
                </c:pt>
                <c:pt idx="207">
                  <c:v>29.1</c:v>
                </c:pt>
                <c:pt idx="208">
                  <c:v>19.3</c:v>
                </c:pt>
                <c:pt idx="209" formatCode="0.0">
                  <c:v>27</c:v>
                </c:pt>
                <c:pt idx="210">
                  <c:v>9.4</c:v>
                </c:pt>
                <c:pt idx="211">
                  <c:v>5.0999999999999996</c:v>
                </c:pt>
                <c:pt idx="212">
                  <c:v>15.8</c:v>
                </c:pt>
                <c:pt idx="213">
                  <c:v>13.5</c:v>
                </c:pt>
                <c:pt idx="214">
                  <c:v>15.4</c:v>
                </c:pt>
                <c:pt idx="215">
                  <c:v>5.7</c:v>
                </c:pt>
                <c:pt idx="216">
                  <c:v>7.8</c:v>
                </c:pt>
                <c:pt idx="217">
                  <c:v>35</c:v>
                </c:pt>
                <c:pt idx="218">
                  <c:v>19.2</c:v>
                </c:pt>
                <c:pt idx="219">
                  <c:v>23.5</c:v>
                </c:pt>
                <c:pt idx="220" formatCode="0.0">
                  <c:v>21.5</c:v>
                </c:pt>
                <c:pt idx="221">
                  <c:v>7.7</c:v>
                </c:pt>
                <c:pt idx="222">
                  <c:v>22.1</c:v>
                </c:pt>
                <c:pt idx="223">
                  <c:v>17.3</c:v>
                </c:pt>
                <c:pt idx="224">
                  <c:v>14.5</c:v>
                </c:pt>
                <c:pt idx="225">
                  <c:v>27.5</c:v>
                </c:pt>
                <c:pt idx="226">
                  <c:v>7.2</c:v>
                </c:pt>
                <c:pt idx="227">
                  <c:v>27</c:v>
                </c:pt>
                <c:pt idx="228">
                  <c:v>16.5</c:v>
                </c:pt>
                <c:pt idx="229">
                  <c:v>9</c:v>
                </c:pt>
                <c:pt idx="230">
                  <c:v>37.700000000000003</c:v>
                </c:pt>
                <c:pt idx="231">
                  <c:v>32.1</c:v>
                </c:pt>
                <c:pt idx="232">
                  <c:v>22.2</c:v>
                </c:pt>
                <c:pt idx="233">
                  <c:v>10.3</c:v>
                </c:pt>
                <c:pt idx="234">
                  <c:v>20.8</c:v>
                </c:pt>
                <c:pt idx="235">
                  <c:v>22.2</c:v>
                </c:pt>
                <c:pt idx="236">
                  <c:v>4.2</c:v>
                </c:pt>
                <c:pt idx="237">
                  <c:v>36.299999999999997</c:v>
                </c:pt>
                <c:pt idx="238">
                  <c:v>29.8</c:v>
                </c:pt>
                <c:pt idx="239">
                  <c:v>34.700000000000003</c:v>
                </c:pt>
                <c:pt idx="240">
                  <c:v>27.1</c:v>
                </c:pt>
                <c:pt idx="241">
                  <c:v>31.6</c:v>
                </c:pt>
                <c:pt idx="242">
                  <c:v>26.6</c:v>
                </c:pt>
                <c:pt idx="243">
                  <c:v>48.8</c:v>
                </c:pt>
                <c:pt idx="244">
                  <c:v>36.9</c:v>
                </c:pt>
                <c:pt idx="245">
                  <c:v>34.299999999999997</c:v>
                </c:pt>
                <c:pt idx="246">
                  <c:v>30.5</c:v>
                </c:pt>
                <c:pt idx="247">
                  <c:v>27.4</c:v>
                </c:pt>
                <c:pt idx="248">
                  <c:v>22.1</c:v>
                </c:pt>
                <c:pt idx="249">
                  <c:v>11.6</c:v>
                </c:pt>
                <c:pt idx="250">
                  <c:v>10.7</c:v>
                </c:pt>
                <c:pt idx="251">
                  <c:v>20.9</c:v>
                </c:pt>
                <c:pt idx="252">
                  <c:v>32.700000000000003</c:v>
                </c:pt>
                <c:pt idx="253">
                  <c:v>16</c:v>
                </c:pt>
                <c:pt idx="254">
                  <c:v>12.3</c:v>
                </c:pt>
                <c:pt idx="255">
                  <c:v>17.3</c:v>
                </c:pt>
                <c:pt idx="256">
                  <c:v>14.3</c:v>
                </c:pt>
                <c:pt idx="257">
                  <c:v>13.6</c:v>
                </c:pt>
                <c:pt idx="258">
                  <c:v>12.2</c:v>
                </c:pt>
                <c:pt idx="259">
                  <c:v>13.4</c:v>
                </c:pt>
              </c:numCache>
            </c:numRef>
          </c:yVal>
          <c:smooth val="0"/>
        </c:ser>
        <c:ser>
          <c:idx val="6"/>
          <c:order val="6"/>
          <c:tx>
            <c:v>Año 6 - Jul 12</c:v>
          </c:tx>
          <c:spPr>
            <a:ln w="28575">
              <a:noFill/>
            </a:ln>
          </c:spPr>
          <c:marker>
            <c:symbol val="plus"/>
            <c:size val="6"/>
            <c:spPr>
              <a:solidFill>
                <a:schemeClr val="accent1"/>
              </a:solidFill>
            </c:spPr>
          </c:marker>
          <c:xVal>
            <c:numRef>
              <c:f>'Graficos balance'!$Q$549:$Q$568</c:f>
              <c:numCache>
                <c:formatCode>0.0</c:formatCode>
                <c:ptCount val="20"/>
                <c:pt idx="0">
                  <c:v>-10.377333333333331</c:v>
                </c:pt>
                <c:pt idx="1">
                  <c:v>-3.9718095238095259</c:v>
                </c:pt>
                <c:pt idx="2">
                  <c:v>-0.46057142857142708</c:v>
                </c:pt>
                <c:pt idx="3">
                  <c:v>2.4436666666666689</c:v>
                </c:pt>
                <c:pt idx="4">
                  <c:v>20.986428571428576</c:v>
                </c:pt>
                <c:pt idx="5">
                  <c:v>-12.686571428571426</c:v>
                </c:pt>
                <c:pt idx="6">
                  <c:v>2.2384761904761952</c:v>
                </c:pt>
                <c:pt idx="7">
                  <c:v>4.0630476190476195</c:v>
                </c:pt>
                <c:pt idx="8">
                  <c:v>2.710714285714289</c:v>
                </c:pt>
                <c:pt idx="9">
                  <c:v>21.127857142857149</c:v>
                </c:pt>
                <c:pt idx="10">
                  <c:v>-10.852</c:v>
                </c:pt>
                <c:pt idx="11">
                  <c:v>-3.4769523809523797</c:v>
                </c:pt>
                <c:pt idx="12">
                  <c:v>0.71371428571428552</c:v>
                </c:pt>
                <c:pt idx="13">
                  <c:v>7.8278571428571411</c:v>
                </c:pt>
                <c:pt idx="14">
                  <c:v>19.837190476190479</c:v>
                </c:pt>
                <c:pt idx="15">
                  <c:v>-10.847999999999999</c:v>
                </c:pt>
                <c:pt idx="16">
                  <c:v>-3.6071428571428541</c:v>
                </c:pt>
                <c:pt idx="17">
                  <c:v>2.0422857142857112</c:v>
                </c:pt>
                <c:pt idx="18">
                  <c:v>8.1594761904761874</c:v>
                </c:pt>
                <c:pt idx="19">
                  <c:v>18.711285714285715</c:v>
                </c:pt>
              </c:numCache>
            </c:numRef>
          </c:xVal>
          <c:yVal>
            <c:numRef>
              <c:f>'Graficos balance'!$R$549:$R$568</c:f>
              <c:numCache>
                <c:formatCode>General</c:formatCode>
                <c:ptCount val="20"/>
                <c:pt idx="0">
                  <c:v>6</c:v>
                </c:pt>
                <c:pt idx="1">
                  <c:v>8.9</c:v>
                </c:pt>
                <c:pt idx="2">
                  <c:v>21.8</c:v>
                </c:pt>
                <c:pt idx="3">
                  <c:v>12.8</c:v>
                </c:pt>
                <c:pt idx="4">
                  <c:v>20.8</c:v>
                </c:pt>
                <c:pt idx="5">
                  <c:v>7</c:v>
                </c:pt>
                <c:pt idx="6">
                  <c:v>8.9</c:v>
                </c:pt>
                <c:pt idx="7">
                  <c:v>14</c:v>
                </c:pt>
                <c:pt idx="8">
                  <c:v>11.5</c:v>
                </c:pt>
                <c:pt idx="9">
                  <c:v>22.2</c:v>
                </c:pt>
                <c:pt idx="10">
                  <c:v>5.5</c:v>
                </c:pt>
                <c:pt idx="11">
                  <c:v>7.6</c:v>
                </c:pt>
                <c:pt idx="12">
                  <c:v>13</c:v>
                </c:pt>
                <c:pt idx="13">
                  <c:v>14.9</c:v>
                </c:pt>
                <c:pt idx="14">
                  <c:v>32.1</c:v>
                </c:pt>
                <c:pt idx="15">
                  <c:v>5.8</c:v>
                </c:pt>
                <c:pt idx="16">
                  <c:v>9.5</c:v>
                </c:pt>
                <c:pt idx="17">
                  <c:v>16.3</c:v>
                </c:pt>
                <c:pt idx="18">
                  <c:v>36.700000000000003</c:v>
                </c:pt>
                <c:pt idx="19">
                  <c:v>27.5</c:v>
                </c:pt>
              </c:numCache>
            </c:numRef>
          </c:yVal>
          <c:smooth val="0"/>
        </c:ser>
        <c:ser>
          <c:idx val="7"/>
          <c:order val="7"/>
          <c:tx>
            <c:v>Año 7 -Jul 13</c:v>
          </c:tx>
          <c:spPr>
            <a:ln w="28575">
              <a:noFill/>
            </a:ln>
          </c:spPr>
          <c:marker>
            <c:symbol val="circle"/>
            <c:size val="7"/>
            <c:spPr>
              <a:solidFill>
                <a:schemeClr val="bg2">
                  <a:lumMod val="50000"/>
                </a:schemeClr>
              </a:solidFill>
              <a:ln>
                <a:solidFill>
                  <a:srgbClr val="000000"/>
                </a:solidFill>
              </a:ln>
            </c:spPr>
          </c:marker>
          <c:xVal>
            <c:numRef>
              <c:f>'Graficos balance'!$Q$569:$Q$588</c:f>
              <c:numCache>
                <c:formatCode>0.0</c:formatCode>
                <c:ptCount val="20"/>
                <c:pt idx="0">
                  <c:v>-13.426585714285714</c:v>
                </c:pt>
                <c:pt idx="1">
                  <c:v>-2.6584964285714285</c:v>
                </c:pt>
                <c:pt idx="2">
                  <c:v>3.3442607142857099</c:v>
                </c:pt>
                <c:pt idx="3">
                  <c:v>16.162032000000004</c:v>
                </c:pt>
                <c:pt idx="4">
                  <c:v>27.265564285714284</c:v>
                </c:pt>
                <c:pt idx="5">
                  <c:v>-14.091514285714286</c:v>
                </c:pt>
                <c:pt idx="6">
                  <c:v>-9.3962321428571443</c:v>
                </c:pt>
                <c:pt idx="7">
                  <c:v>6.2399107142857133</c:v>
                </c:pt>
                <c:pt idx="8">
                  <c:v>14.258364285714286</c:v>
                </c:pt>
                <c:pt idx="9">
                  <c:v>29.40307142857143</c:v>
                </c:pt>
                <c:pt idx="10">
                  <c:v>-14.398707142857145</c:v>
                </c:pt>
                <c:pt idx="11">
                  <c:v>-1.4151131428571446</c:v>
                </c:pt>
                <c:pt idx="12">
                  <c:v>5.9838821428571407</c:v>
                </c:pt>
                <c:pt idx="13">
                  <c:v>17.894550000000002</c:v>
                </c:pt>
                <c:pt idx="14">
                  <c:v>33.701234342857148</c:v>
                </c:pt>
                <c:pt idx="15">
                  <c:v>-15.059182142857143</c:v>
                </c:pt>
                <c:pt idx="16">
                  <c:v>-7.5599107142857136</c:v>
                </c:pt>
                <c:pt idx="17">
                  <c:v>9.5403178571428597</c:v>
                </c:pt>
                <c:pt idx="18">
                  <c:v>15.438457142857143</c:v>
                </c:pt>
                <c:pt idx="19">
                  <c:v>33.252320971428574</c:v>
                </c:pt>
              </c:numCache>
            </c:numRef>
          </c:xVal>
          <c:yVal>
            <c:numRef>
              <c:f>'Graficos balance'!$R$569:$R$588</c:f>
              <c:numCache>
                <c:formatCode>General</c:formatCode>
                <c:ptCount val="20"/>
                <c:pt idx="0">
                  <c:v>5.3</c:v>
                </c:pt>
                <c:pt idx="1">
                  <c:v>10.8</c:v>
                </c:pt>
                <c:pt idx="2">
                  <c:v>12.5</c:v>
                </c:pt>
                <c:pt idx="3">
                  <c:v>23.5</c:v>
                </c:pt>
                <c:pt idx="4">
                  <c:v>27.4</c:v>
                </c:pt>
                <c:pt idx="5">
                  <c:v>5.6</c:v>
                </c:pt>
                <c:pt idx="6">
                  <c:v>9.1</c:v>
                </c:pt>
                <c:pt idx="7">
                  <c:v>12.2</c:v>
                </c:pt>
                <c:pt idx="8">
                  <c:v>13.5</c:v>
                </c:pt>
                <c:pt idx="9">
                  <c:v>10.7</c:v>
                </c:pt>
                <c:pt idx="10">
                  <c:v>5</c:v>
                </c:pt>
                <c:pt idx="11">
                  <c:v>10.3</c:v>
                </c:pt>
                <c:pt idx="12">
                  <c:v>13.3</c:v>
                </c:pt>
                <c:pt idx="13">
                  <c:v>14.5</c:v>
                </c:pt>
                <c:pt idx="14">
                  <c:v>16</c:v>
                </c:pt>
                <c:pt idx="15">
                  <c:v>4.7</c:v>
                </c:pt>
                <c:pt idx="16">
                  <c:v>10.1</c:v>
                </c:pt>
                <c:pt idx="17">
                  <c:v>13.7</c:v>
                </c:pt>
                <c:pt idx="18">
                  <c:v>35</c:v>
                </c:pt>
                <c:pt idx="19">
                  <c:v>32.700000000000003</c:v>
                </c:pt>
              </c:numCache>
            </c:numRef>
          </c:yVal>
          <c:smooth val="0"/>
        </c:ser>
        <c:ser>
          <c:idx val="8"/>
          <c:order val="8"/>
          <c:tx>
            <c:v>Año 8 - Jul 14</c:v>
          </c:tx>
          <c:spPr>
            <a:ln w="28575">
              <a:noFill/>
            </a:ln>
          </c:spPr>
          <c:marker>
            <c:symbol val="triangle"/>
            <c:size val="6"/>
            <c:spPr>
              <a:solidFill>
                <a:schemeClr val="tx1"/>
              </a:solidFill>
              <a:ln>
                <a:solidFill>
                  <a:schemeClr val="tx1"/>
                </a:solidFill>
              </a:ln>
            </c:spPr>
          </c:marker>
          <c:xVal>
            <c:numRef>
              <c:f>'Graficos balance'!$Q$589:$Q$608</c:f>
              <c:numCache>
                <c:formatCode>0.00</c:formatCode>
                <c:ptCount val="20"/>
                <c:pt idx="0">
                  <c:v>-15.523584</c:v>
                </c:pt>
                <c:pt idx="1">
                  <c:v>-5.4729919999999979</c:v>
                </c:pt>
                <c:pt idx="2">
                  <c:v>-2.0385799999999996</c:v>
                </c:pt>
                <c:pt idx="3">
                  <c:v>4.1621720000000018</c:v>
                </c:pt>
                <c:pt idx="4">
                  <c:v>16.247520000000002</c:v>
                </c:pt>
                <c:pt idx="5">
                  <c:v>-10.311936000000001</c:v>
                </c:pt>
                <c:pt idx="6">
                  <c:v>-2.2407680000000028</c:v>
                </c:pt>
                <c:pt idx="7">
                  <c:v>-6.1745599999999978</c:v>
                </c:pt>
                <c:pt idx="8">
                  <c:v>-8.5338249999999984</c:v>
                </c:pt>
                <c:pt idx="9">
                  <c:v>9.7120800000000003</c:v>
                </c:pt>
                <c:pt idx="10">
                  <c:v>-13.137696000000002</c:v>
                </c:pt>
                <c:pt idx="11">
                  <c:v>-1.2455750000000005</c:v>
                </c:pt>
                <c:pt idx="12">
                  <c:v>-3.3279199999999989</c:v>
                </c:pt>
                <c:pt idx="13">
                  <c:v>-3.9107319999999994</c:v>
                </c:pt>
                <c:pt idx="14">
                  <c:v>10.376063999999998</c:v>
                </c:pt>
                <c:pt idx="15">
                  <c:v>-15.054480000000002</c:v>
                </c:pt>
                <c:pt idx="16">
                  <c:v>-0.91262600000000127</c:v>
                </c:pt>
                <c:pt idx="17">
                  <c:v>-3.8528779999999987</c:v>
                </c:pt>
                <c:pt idx="18">
                  <c:v>-1.1034159999999993</c:v>
                </c:pt>
                <c:pt idx="19">
                  <c:v>13.318838999999997</c:v>
                </c:pt>
              </c:numCache>
            </c:numRef>
          </c:xVal>
          <c:yVal>
            <c:numRef>
              <c:f>'Graficos balance'!$R$589:$R$608</c:f>
              <c:numCache>
                <c:formatCode>0.0</c:formatCode>
                <c:ptCount val="20"/>
                <c:pt idx="0">
                  <c:v>6.3</c:v>
                </c:pt>
                <c:pt idx="1">
                  <c:v>11.4</c:v>
                </c:pt>
                <c:pt idx="2">
                  <c:v>18.600000000000001</c:v>
                </c:pt>
                <c:pt idx="3">
                  <c:v>14.5</c:v>
                </c:pt>
                <c:pt idx="4">
                  <c:v>21.5</c:v>
                </c:pt>
                <c:pt idx="5">
                  <c:v>5.2</c:v>
                </c:pt>
                <c:pt idx="6">
                  <c:v>9.3000000000000007</c:v>
                </c:pt>
                <c:pt idx="7">
                  <c:v>11.9</c:v>
                </c:pt>
                <c:pt idx="8">
                  <c:v>19.399999999999999</c:v>
                </c:pt>
                <c:pt idx="9">
                  <c:v>27.5</c:v>
                </c:pt>
                <c:pt idx="10">
                  <c:v>5.4</c:v>
                </c:pt>
                <c:pt idx="11">
                  <c:v>14</c:v>
                </c:pt>
                <c:pt idx="12">
                  <c:v>14.7</c:v>
                </c:pt>
                <c:pt idx="13">
                  <c:v>18.600000000000001</c:v>
                </c:pt>
                <c:pt idx="14">
                  <c:v>16.8</c:v>
                </c:pt>
                <c:pt idx="15">
                  <c:v>6.4</c:v>
                </c:pt>
                <c:pt idx="16">
                  <c:v>9.3000000000000007</c:v>
                </c:pt>
                <c:pt idx="17">
                  <c:v>19</c:v>
                </c:pt>
                <c:pt idx="18">
                  <c:v>21.9</c:v>
                </c:pt>
                <c:pt idx="19">
                  <c:v>27</c:v>
                </c:pt>
              </c:numCache>
            </c:numRef>
          </c:yVal>
          <c:smooth val="0"/>
        </c:ser>
        <c:ser>
          <c:idx val="9"/>
          <c:order val="9"/>
          <c:tx>
            <c:v>balance positivo</c:v>
          </c:tx>
          <c:spPr>
            <a:ln w="28575">
              <a:noFill/>
            </a:ln>
          </c:spPr>
          <c:marker>
            <c:symbol val="none"/>
          </c:marker>
          <c:trendline>
            <c:trendlineType val="exp"/>
            <c:forward val="25"/>
            <c:dispRSqr val="1"/>
            <c:dispEq val="1"/>
            <c:trendlineLbl>
              <c:layout>
                <c:manualLayout>
                  <c:x val="-9.5781478642603304E-3"/>
                  <c:y val="-0.25174290929896737"/>
                </c:manualLayout>
              </c:layout>
              <c:numFmt formatCode="General" sourceLinked="0"/>
            </c:trendlineLbl>
          </c:trendline>
          <c:xVal>
            <c:numRef>
              <c:f>'Graficos balance'!$M$449:$M$688</c:f>
              <c:numCache>
                <c:formatCode>0.00</c:formatCode>
                <c:ptCount val="240"/>
                <c:pt idx="0">
                  <c:v>-50.451530999999996</c:v>
                </c:pt>
                <c:pt idx="1">
                  <c:v>-48.476856000000005</c:v>
                </c:pt>
                <c:pt idx="2">
                  <c:v>-44.774940000000001</c:v>
                </c:pt>
                <c:pt idx="3">
                  <c:v>-42.027426000000006</c:v>
                </c:pt>
                <c:pt idx="4">
                  <c:v>-41.117909999999995</c:v>
                </c:pt>
                <c:pt idx="5">
                  <c:v>-40.331742000000006</c:v>
                </c:pt>
                <c:pt idx="6">
                  <c:v>-37.105280999999998</c:v>
                </c:pt>
                <c:pt idx="7">
                  <c:v>-34.022556000000002</c:v>
                </c:pt>
                <c:pt idx="8" formatCode="0.0">
                  <c:v>-24.591680999999998</c:v>
                </c:pt>
                <c:pt idx="9" formatCode="0.0">
                  <c:v>-23.910209999999996</c:v>
                </c:pt>
                <c:pt idx="10" formatCode="0.0">
                  <c:v>-23.391342000000005</c:v>
                </c:pt>
                <c:pt idx="11">
                  <c:v>-22.742586999999997</c:v>
                </c:pt>
                <c:pt idx="12">
                  <c:v>-19.334505999999998</c:v>
                </c:pt>
                <c:pt idx="13" formatCode="0.0">
                  <c:v>-18.860556000000003</c:v>
                </c:pt>
                <c:pt idx="14" formatCode="0.0">
                  <c:v>-18.462051428571428</c:v>
                </c:pt>
                <c:pt idx="15">
                  <c:v>-18.254892000000005</c:v>
                </c:pt>
                <c:pt idx="16" formatCode="0.0">
                  <c:v>-17.094152571428573</c:v>
                </c:pt>
                <c:pt idx="17" formatCode="0.0">
                  <c:v>-16.692866666666667</c:v>
                </c:pt>
                <c:pt idx="18">
                  <c:v>-16.578459000000002</c:v>
                </c:pt>
                <c:pt idx="19">
                  <c:v>-16.391495999999997</c:v>
                </c:pt>
                <c:pt idx="20">
                  <c:v>-16.153029</c:v>
                </c:pt>
                <c:pt idx="21" formatCode="0.0">
                  <c:v>-15.618157142857143</c:v>
                </c:pt>
                <c:pt idx="22">
                  <c:v>-15.523584</c:v>
                </c:pt>
                <c:pt idx="23" formatCode="0.0">
                  <c:v>-15.429819428571427</c:v>
                </c:pt>
                <c:pt idx="24" formatCode="0.0">
                  <c:v>-15.059182142857143</c:v>
                </c:pt>
                <c:pt idx="25">
                  <c:v>-15.054480000000002</c:v>
                </c:pt>
                <c:pt idx="26" formatCode="0.0">
                  <c:v>-14.922022500000001</c:v>
                </c:pt>
                <c:pt idx="27">
                  <c:v>-14.841608399999998</c:v>
                </c:pt>
                <c:pt idx="28" formatCode="0.0">
                  <c:v>-14.486742857142858</c:v>
                </c:pt>
                <c:pt idx="29" formatCode="0.0">
                  <c:v>-14.398707142857145</c:v>
                </c:pt>
                <c:pt idx="30" formatCode="0.0">
                  <c:v>-14.318594642857144</c:v>
                </c:pt>
                <c:pt idx="31" formatCode="0.0">
                  <c:v>-14.2011144</c:v>
                </c:pt>
                <c:pt idx="32" formatCode="0.0">
                  <c:v>-14.128186999999997</c:v>
                </c:pt>
                <c:pt idx="33" formatCode="0.0">
                  <c:v>-14.091514285714286</c:v>
                </c:pt>
                <c:pt idx="34">
                  <c:v>-13.820402399999999</c:v>
                </c:pt>
                <c:pt idx="35">
                  <c:v>-13.80081</c:v>
                </c:pt>
                <c:pt idx="36" formatCode="0.0">
                  <c:v>-13.426585714285714</c:v>
                </c:pt>
                <c:pt idx="37">
                  <c:v>-13.424243999999998</c:v>
                </c:pt>
                <c:pt idx="38">
                  <c:v>-13.373405000000005</c:v>
                </c:pt>
                <c:pt idx="39" formatCode="0.0">
                  <c:v>-13.244652142857142</c:v>
                </c:pt>
                <c:pt idx="40">
                  <c:v>-13.137696000000002</c:v>
                </c:pt>
                <c:pt idx="41" formatCode="0.0">
                  <c:v>-12.793375000000001</c:v>
                </c:pt>
                <c:pt idx="42" formatCode="0.0">
                  <c:v>-12.686571428571426</c:v>
                </c:pt>
                <c:pt idx="43" formatCode="0.0">
                  <c:v>-12.564096300000001</c:v>
                </c:pt>
                <c:pt idx="44">
                  <c:v>-12.441870000000002</c:v>
                </c:pt>
                <c:pt idx="45">
                  <c:v>-11.727043200000001</c:v>
                </c:pt>
                <c:pt idx="46" formatCode="0.0">
                  <c:v>-11.529115714285716</c:v>
                </c:pt>
                <c:pt idx="47" formatCode="0.0">
                  <c:v>-11.267192000000005</c:v>
                </c:pt>
                <c:pt idx="48" formatCode="0.0">
                  <c:v>-11.238377600000003</c:v>
                </c:pt>
                <c:pt idx="49" formatCode="0.0">
                  <c:v>-11.177485714285716</c:v>
                </c:pt>
                <c:pt idx="50" formatCode="0.0">
                  <c:v>-11.1128</c:v>
                </c:pt>
                <c:pt idx="51" formatCode="0.0">
                  <c:v>-10.9872909</c:v>
                </c:pt>
                <c:pt idx="52" formatCode="0.0">
                  <c:v>-10.852</c:v>
                </c:pt>
                <c:pt idx="53" formatCode="0.0">
                  <c:v>-10.847999999999999</c:v>
                </c:pt>
                <c:pt idx="54" formatCode="0.0">
                  <c:v>-10.777875000000002</c:v>
                </c:pt>
                <c:pt idx="55" formatCode="0.0">
                  <c:v>-10.775182142857147</c:v>
                </c:pt>
                <c:pt idx="56" formatCode="0.0">
                  <c:v>-10.711731799999999</c:v>
                </c:pt>
                <c:pt idx="57" formatCode="0.0">
                  <c:v>-10.377333333333331</c:v>
                </c:pt>
                <c:pt idx="58" formatCode="0.0">
                  <c:v>-10.367848571428571</c:v>
                </c:pt>
                <c:pt idx="59">
                  <c:v>-10.321510000000004</c:v>
                </c:pt>
                <c:pt idx="60">
                  <c:v>-10.311936000000001</c:v>
                </c:pt>
                <c:pt idx="61" formatCode="0.0">
                  <c:v>-10.294705999999998</c:v>
                </c:pt>
                <c:pt idx="62" formatCode="0.0">
                  <c:v>-10.022660999999999</c:v>
                </c:pt>
                <c:pt idx="63" formatCode="0.0">
                  <c:v>-9.7255125000000024</c:v>
                </c:pt>
                <c:pt idx="64" formatCode="0.0">
                  <c:v>-9.6875742857142857</c:v>
                </c:pt>
                <c:pt idx="65" formatCode="0.0">
                  <c:v>-9.3962321428571443</c:v>
                </c:pt>
                <c:pt idx="66" formatCode="0.0">
                  <c:v>-9.3049109999999988</c:v>
                </c:pt>
                <c:pt idx="67" formatCode="0.0">
                  <c:v>-9.1844160000000006</c:v>
                </c:pt>
                <c:pt idx="68">
                  <c:v>-9.1182960000000008</c:v>
                </c:pt>
                <c:pt idx="69" formatCode="0.0">
                  <c:v>-9.0394003999999981</c:v>
                </c:pt>
                <c:pt idx="70" formatCode="0.0">
                  <c:v>-8.9898942857142927</c:v>
                </c:pt>
                <c:pt idx="71">
                  <c:v>-8.5338249999999984</c:v>
                </c:pt>
                <c:pt idx="72" formatCode="0.0">
                  <c:v>-8.3158949999999994</c:v>
                </c:pt>
                <c:pt idx="73" formatCode="0.0">
                  <c:v>-8.1774419047619133</c:v>
                </c:pt>
                <c:pt idx="74" formatCode="0.0">
                  <c:v>-8.0569319999999962</c:v>
                </c:pt>
                <c:pt idx="75">
                  <c:v>-7.8723639999999993</c:v>
                </c:pt>
                <c:pt idx="76" formatCode="0.0">
                  <c:v>-7.8697550000000014</c:v>
                </c:pt>
                <c:pt idx="77" formatCode="0.0">
                  <c:v>-7.7623100000000029</c:v>
                </c:pt>
                <c:pt idx="78">
                  <c:v>-7.6506019999999992</c:v>
                </c:pt>
                <c:pt idx="79" formatCode="0.0">
                  <c:v>-7.5599107142857136</c:v>
                </c:pt>
                <c:pt idx="80">
                  <c:v>-7.0605679999999982</c:v>
                </c:pt>
                <c:pt idx="81" formatCode="0.0">
                  <c:v>-6.7221214285714268</c:v>
                </c:pt>
                <c:pt idx="82">
                  <c:v>-6.6461870000000012</c:v>
                </c:pt>
                <c:pt idx="83">
                  <c:v>-6.1745599999999978</c:v>
                </c:pt>
                <c:pt idx="84">
                  <c:v>-5.7901110000000031</c:v>
                </c:pt>
                <c:pt idx="85">
                  <c:v>-5.6428160000000016</c:v>
                </c:pt>
                <c:pt idx="86" formatCode="0.0">
                  <c:v>-5.5716900000000038</c:v>
                </c:pt>
                <c:pt idx="87">
                  <c:v>-5.4729919999999979</c:v>
                </c:pt>
                <c:pt idx="88" formatCode="0.0">
                  <c:v>-5.4111750000000001</c:v>
                </c:pt>
                <c:pt idx="89" formatCode="0.0">
                  <c:v>-5.3963549000000057</c:v>
                </c:pt>
                <c:pt idx="90">
                  <c:v>-5.393787200000002</c:v>
                </c:pt>
                <c:pt idx="91">
                  <c:v>-4.7694230000000015</c:v>
                </c:pt>
                <c:pt idx="92" formatCode="0.0">
                  <c:v>-4.738578000000004</c:v>
                </c:pt>
                <c:pt idx="93">
                  <c:v>-4.6841977999999926</c:v>
                </c:pt>
                <c:pt idx="94">
                  <c:v>-4.6458307999999988</c:v>
                </c:pt>
                <c:pt idx="95" formatCode="0.0">
                  <c:v>-4.5960720000000066</c:v>
                </c:pt>
                <c:pt idx="96" formatCode="0.0">
                  <c:v>-4.3010742857142858</c:v>
                </c:pt>
                <c:pt idx="97">
                  <c:v>-4.0558479999999992</c:v>
                </c:pt>
                <c:pt idx="98" formatCode="0.0">
                  <c:v>-3.9718095238095259</c:v>
                </c:pt>
                <c:pt idx="99">
                  <c:v>-3.9107319999999994</c:v>
                </c:pt>
                <c:pt idx="100">
                  <c:v>-3.8528779999999987</c:v>
                </c:pt>
                <c:pt idx="101" formatCode="0.0">
                  <c:v>-3.6071428571428541</c:v>
                </c:pt>
                <c:pt idx="102" formatCode="0.0">
                  <c:v>-3.4769523809523797</c:v>
                </c:pt>
                <c:pt idx="103">
                  <c:v>-3.3279199999999989</c:v>
                </c:pt>
                <c:pt idx="104" formatCode="0.0">
                  <c:v>-3.0470285714285765</c:v>
                </c:pt>
                <c:pt idx="105">
                  <c:v>-2.903956799999996</c:v>
                </c:pt>
                <c:pt idx="106" formatCode="0.0">
                  <c:v>-2.6584964285714285</c:v>
                </c:pt>
                <c:pt idx="107">
                  <c:v>-2.5242999999999984</c:v>
                </c:pt>
                <c:pt idx="108" formatCode="0.0">
                  <c:v>-2.4520107142857128</c:v>
                </c:pt>
                <c:pt idx="109" formatCode="0.0">
                  <c:v>-2.266737500000005</c:v>
                </c:pt>
                <c:pt idx="110">
                  <c:v>-2.2407680000000028</c:v>
                </c:pt>
                <c:pt idx="111">
                  <c:v>-2.2091000000000012</c:v>
                </c:pt>
                <c:pt idx="112">
                  <c:v>-2.196137000000002</c:v>
                </c:pt>
                <c:pt idx="113">
                  <c:v>-2.0385799999999996</c:v>
                </c:pt>
                <c:pt idx="114">
                  <c:v>-2.0351399999999984</c:v>
                </c:pt>
                <c:pt idx="115" formatCode="0.0">
                  <c:v>-1.971114285714286</c:v>
                </c:pt>
                <c:pt idx="116" formatCode="0.0">
                  <c:v>-1.8927250000000058</c:v>
                </c:pt>
                <c:pt idx="117">
                  <c:v>-1.8457250000000016</c:v>
                </c:pt>
                <c:pt idx="118" formatCode="0.0">
                  <c:v>-1.4151131428571446</c:v>
                </c:pt>
                <c:pt idx="119" formatCode="0.0">
                  <c:v>-1.3684057142857071</c:v>
                </c:pt>
                <c:pt idx="120">
                  <c:v>-1.3303130000000003</c:v>
                </c:pt>
                <c:pt idx="121">
                  <c:v>-1.2455750000000005</c:v>
                </c:pt>
                <c:pt idx="122" formatCode="0.0">
                  <c:v>-1.2396714285714339</c:v>
                </c:pt>
                <c:pt idx="123">
                  <c:v>-1.1448060000000027</c:v>
                </c:pt>
                <c:pt idx="124">
                  <c:v>-1.1034159999999993</c:v>
                </c:pt>
                <c:pt idx="125" formatCode="0.0">
                  <c:v>-0.96984240000000099</c:v>
                </c:pt>
                <c:pt idx="126">
                  <c:v>-0.91262600000000127</c:v>
                </c:pt>
                <c:pt idx="127" formatCode="0.0">
                  <c:v>-0.7578060000000022</c:v>
                </c:pt>
                <c:pt idx="128" formatCode="0.0">
                  <c:v>-0.46057142857142708</c:v>
                </c:pt>
                <c:pt idx="129">
                  <c:v>-0.37413600000000002</c:v>
                </c:pt>
                <c:pt idx="130" formatCode="0.0">
                  <c:v>-0.33643333333334269</c:v>
                </c:pt>
                <c:pt idx="131" formatCode="0.0">
                  <c:v>0.21624600000000171</c:v>
                </c:pt>
                <c:pt idx="132">
                  <c:v>0.30696959999999152</c:v>
                </c:pt>
                <c:pt idx="133">
                  <c:v>0.64756240000000176</c:v>
                </c:pt>
                <c:pt idx="134" formatCode="0.0">
                  <c:v>0.71371428571428552</c:v>
                </c:pt>
                <c:pt idx="135" formatCode="0.0">
                  <c:v>0.81802500000000222</c:v>
                </c:pt>
                <c:pt idx="136">
                  <c:v>0.82341899999999768</c:v>
                </c:pt>
                <c:pt idx="137">
                  <c:v>1.0399159999999998</c:v>
                </c:pt>
                <c:pt idx="138" formatCode="0.0">
                  <c:v>1.0658223999999947</c:v>
                </c:pt>
                <c:pt idx="139" formatCode="0.0">
                  <c:v>1.3253428571428572</c:v>
                </c:pt>
                <c:pt idx="140" formatCode="0.0">
                  <c:v>1.5629714285714229</c:v>
                </c:pt>
                <c:pt idx="141" formatCode="0.0">
                  <c:v>2.0422857142857112</c:v>
                </c:pt>
                <c:pt idx="142" formatCode="0.0">
                  <c:v>2.2384761904761952</c:v>
                </c:pt>
                <c:pt idx="143" formatCode="0.0">
                  <c:v>2.4436666666666689</c:v>
                </c:pt>
                <c:pt idx="144" formatCode="0.0">
                  <c:v>2.5060799999999972</c:v>
                </c:pt>
                <c:pt idx="145" formatCode="0.0">
                  <c:v>2.5986960714285718</c:v>
                </c:pt>
                <c:pt idx="146" formatCode="0.0">
                  <c:v>2.710714285714289</c:v>
                </c:pt>
                <c:pt idx="147" formatCode="0.0">
                  <c:v>2.8734000000000002</c:v>
                </c:pt>
                <c:pt idx="148">
                  <c:v>2.9021140000000045</c:v>
                </c:pt>
                <c:pt idx="149" formatCode="0.0">
                  <c:v>3.2235750000000003</c:v>
                </c:pt>
                <c:pt idx="150">
                  <c:v>3.3422629999999991</c:v>
                </c:pt>
                <c:pt idx="151" formatCode="0.0">
                  <c:v>3.3442607142857099</c:v>
                </c:pt>
                <c:pt idx="152" formatCode="0.0">
                  <c:v>3.6495719999999992</c:v>
                </c:pt>
                <c:pt idx="153" formatCode="0.0">
                  <c:v>3.8074720000000006</c:v>
                </c:pt>
                <c:pt idx="154">
                  <c:v>3.8464749999999981</c:v>
                </c:pt>
                <c:pt idx="155">
                  <c:v>4.0426000000000002</c:v>
                </c:pt>
                <c:pt idx="156" formatCode="0.0">
                  <c:v>4.0630476190476195</c:v>
                </c:pt>
                <c:pt idx="157">
                  <c:v>4.1621720000000018</c:v>
                </c:pt>
                <c:pt idx="158" formatCode="0.0">
                  <c:v>4.2965587000000056</c:v>
                </c:pt>
                <c:pt idx="159" formatCode="0.0">
                  <c:v>4.596127000000001</c:v>
                </c:pt>
                <c:pt idx="160" formatCode="0.0">
                  <c:v>4.6775589999999987</c:v>
                </c:pt>
                <c:pt idx="161" formatCode="0.0">
                  <c:v>4.8074714285714322</c:v>
                </c:pt>
                <c:pt idx="162">
                  <c:v>4.9602341999999986</c:v>
                </c:pt>
                <c:pt idx="163" formatCode="0.0">
                  <c:v>5.4398714285714256</c:v>
                </c:pt>
                <c:pt idx="164" formatCode="0.0">
                  <c:v>5.6872103571428561</c:v>
                </c:pt>
                <c:pt idx="165" formatCode="0.0">
                  <c:v>5.7105657142857176</c:v>
                </c:pt>
                <c:pt idx="166">
                  <c:v>5.7579024000000025</c:v>
                </c:pt>
                <c:pt idx="167" formatCode="0.0">
                  <c:v>5.8028964285714295</c:v>
                </c:pt>
                <c:pt idx="168" formatCode="0.0">
                  <c:v>5.9838821428571407</c:v>
                </c:pt>
                <c:pt idx="169" formatCode="0.0">
                  <c:v>6.1481199999999987</c:v>
                </c:pt>
                <c:pt idx="170" formatCode="0.0">
                  <c:v>6.2399107142857133</c:v>
                </c:pt>
                <c:pt idx="171" formatCode="0.0">
                  <c:v>6.4381419999999991</c:v>
                </c:pt>
                <c:pt idx="172">
                  <c:v>6.5453719999999969</c:v>
                </c:pt>
                <c:pt idx="173">
                  <c:v>6.9810875999999951</c:v>
                </c:pt>
                <c:pt idx="174" formatCode="0.0">
                  <c:v>7.0720659999999995</c:v>
                </c:pt>
                <c:pt idx="175" formatCode="0.0">
                  <c:v>7.2449335714285645</c:v>
                </c:pt>
                <c:pt idx="176" formatCode="0.0">
                  <c:v>7.3299242857142808</c:v>
                </c:pt>
                <c:pt idx="177" formatCode="0.0">
                  <c:v>7.3350285714285661</c:v>
                </c:pt>
                <c:pt idx="178">
                  <c:v>7.7555900000000015</c:v>
                </c:pt>
                <c:pt idx="179" formatCode="0.0">
                  <c:v>7.8278571428571411</c:v>
                </c:pt>
                <c:pt idx="180" formatCode="0.0">
                  <c:v>7.9915680000000009</c:v>
                </c:pt>
                <c:pt idx="181">
                  <c:v>8.0543559999999985</c:v>
                </c:pt>
                <c:pt idx="182" formatCode="0.0">
                  <c:v>8.0606499999999954</c:v>
                </c:pt>
                <c:pt idx="183" formatCode="0.0">
                  <c:v>8.1483485714285706</c:v>
                </c:pt>
                <c:pt idx="184" formatCode="0.0">
                  <c:v>8.1594761904761874</c:v>
                </c:pt>
                <c:pt idx="185" formatCode="0.0">
                  <c:v>8.2006299999999985</c:v>
                </c:pt>
                <c:pt idx="186" formatCode="0.0">
                  <c:v>8.2476590476190523</c:v>
                </c:pt>
                <c:pt idx="187" formatCode="0.0">
                  <c:v>8.417781999999999</c:v>
                </c:pt>
                <c:pt idx="188" formatCode="0.0">
                  <c:v>8.4425066666666595</c:v>
                </c:pt>
                <c:pt idx="189">
                  <c:v>8.7854320000000001</c:v>
                </c:pt>
                <c:pt idx="190" formatCode="0.0">
                  <c:v>8.8579559999999979</c:v>
                </c:pt>
                <c:pt idx="191" formatCode="0.0">
                  <c:v>9.128286785714284</c:v>
                </c:pt>
                <c:pt idx="192" formatCode="0.0">
                  <c:v>9.191831999999998</c:v>
                </c:pt>
                <c:pt idx="193" formatCode="0.0">
                  <c:v>9.3740142857142814</c:v>
                </c:pt>
                <c:pt idx="194" formatCode="0.0">
                  <c:v>9.5403178571428597</c:v>
                </c:pt>
                <c:pt idx="195">
                  <c:v>9.7120800000000003</c:v>
                </c:pt>
                <c:pt idx="196" formatCode="0.0">
                  <c:v>10.054600000000001</c:v>
                </c:pt>
                <c:pt idx="197" formatCode="0.0">
                  <c:v>10.138032000000003</c:v>
                </c:pt>
                <c:pt idx="198" formatCode="0.0">
                  <c:v>10.334242857142854</c:v>
                </c:pt>
                <c:pt idx="199">
                  <c:v>10.376063999999998</c:v>
                </c:pt>
                <c:pt idx="200" formatCode="0.0">
                  <c:v>11.090592499999998</c:v>
                </c:pt>
                <c:pt idx="201" formatCode="0.0">
                  <c:v>11.302614000000002</c:v>
                </c:pt>
                <c:pt idx="202">
                  <c:v>11.638955999999999</c:v>
                </c:pt>
                <c:pt idx="203">
                  <c:v>12.098268000000001</c:v>
                </c:pt>
                <c:pt idx="204" formatCode="0.0">
                  <c:v>12.19023428571429</c:v>
                </c:pt>
                <c:pt idx="205">
                  <c:v>12.728370000000002</c:v>
                </c:pt>
                <c:pt idx="206" formatCode="0.0">
                  <c:v>12.834052199999999</c:v>
                </c:pt>
                <c:pt idx="207" formatCode="0.0">
                  <c:v>12.8688</c:v>
                </c:pt>
                <c:pt idx="208">
                  <c:v>13.061382399999999</c:v>
                </c:pt>
                <c:pt idx="209">
                  <c:v>13.318838999999997</c:v>
                </c:pt>
                <c:pt idx="210">
                  <c:v>13.502214000000002</c:v>
                </c:pt>
                <c:pt idx="211">
                  <c:v>13.935733999999998</c:v>
                </c:pt>
                <c:pt idx="212">
                  <c:v>14.189274000000001</c:v>
                </c:pt>
                <c:pt idx="213" formatCode="0.0">
                  <c:v>14.258364285714286</c:v>
                </c:pt>
                <c:pt idx="214">
                  <c:v>14.318730000000002</c:v>
                </c:pt>
                <c:pt idx="215">
                  <c:v>15.178473999999996</c:v>
                </c:pt>
                <c:pt idx="216" formatCode="0.0">
                  <c:v>15.323583999999997</c:v>
                </c:pt>
                <c:pt idx="217" formatCode="0.0">
                  <c:v>15.438457142857143</c:v>
                </c:pt>
                <c:pt idx="218" formatCode="0.0">
                  <c:v>15.504552</c:v>
                </c:pt>
                <c:pt idx="219" formatCode="0.0">
                  <c:v>16.162032000000004</c:v>
                </c:pt>
                <c:pt idx="220">
                  <c:v>16.247520000000002</c:v>
                </c:pt>
                <c:pt idx="221">
                  <c:v>16.530437999999997</c:v>
                </c:pt>
                <c:pt idx="222" formatCode="0.0">
                  <c:v>16.645647619047622</c:v>
                </c:pt>
                <c:pt idx="223" formatCode="0.0">
                  <c:v>17.83248571428571</c:v>
                </c:pt>
                <c:pt idx="224" formatCode="0.0">
                  <c:v>17.894550000000002</c:v>
                </c:pt>
                <c:pt idx="225" formatCode="0.0">
                  <c:v>18.711285714285715</c:v>
                </c:pt>
                <c:pt idx="226" formatCode="0.0">
                  <c:v>18.761998000000006</c:v>
                </c:pt>
                <c:pt idx="227" formatCode="0.0">
                  <c:v>18.772510476190483</c:v>
                </c:pt>
                <c:pt idx="228" formatCode="0.0">
                  <c:v>19.137664000000001</c:v>
                </c:pt>
                <c:pt idx="229">
                  <c:v>19.607503999999999</c:v>
                </c:pt>
                <c:pt idx="230">
                  <c:v>19.809999999999999</c:v>
                </c:pt>
                <c:pt idx="231" formatCode="0.0">
                  <c:v>19.837190476190479</c:v>
                </c:pt>
                <c:pt idx="232">
                  <c:v>20.118352599999998</c:v>
                </c:pt>
                <c:pt idx="233" formatCode="0.0">
                  <c:v>20.675475999999993</c:v>
                </c:pt>
                <c:pt idx="234" formatCode="0.0">
                  <c:v>20.986428571428576</c:v>
                </c:pt>
                <c:pt idx="235" formatCode="0.0">
                  <c:v>21.127857142857149</c:v>
                </c:pt>
                <c:pt idx="236">
                  <c:v>21.823682000000002</c:v>
                </c:pt>
                <c:pt idx="237" formatCode="0.0">
                  <c:v>22.692070857142852</c:v>
                </c:pt>
                <c:pt idx="238" formatCode="0.0">
                  <c:v>22.956238571428571</c:v>
                </c:pt>
                <c:pt idx="239" formatCode="0.0">
                  <c:v>22.97491071428572</c:v>
                </c:pt>
              </c:numCache>
            </c:numRef>
          </c:xVal>
          <c:yVal>
            <c:numRef>
              <c:f>'Graficos balance'!$N$449:$N$688</c:f>
              <c:numCache>
                <c:formatCode>General</c:formatCode>
                <c:ptCount val="240"/>
                <c:pt idx="0">
                  <c:v>5.9</c:v>
                </c:pt>
                <c:pt idx="1">
                  <c:v>2.9</c:v>
                </c:pt>
                <c:pt idx="2">
                  <c:v>3.3</c:v>
                </c:pt>
                <c:pt idx="3">
                  <c:v>3.8</c:v>
                </c:pt>
                <c:pt idx="4">
                  <c:v>7.3</c:v>
                </c:pt>
                <c:pt idx="5">
                  <c:v>6.3</c:v>
                </c:pt>
                <c:pt idx="6">
                  <c:v>7.4</c:v>
                </c:pt>
                <c:pt idx="7">
                  <c:v>7.3</c:v>
                </c:pt>
                <c:pt idx="8">
                  <c:v>8.6999999999999993</c:v>
                </c:pt>
                <c:pt idx="9">
                  <c:v>6.6</c:v>
                </c:pt>
                <c:pt idx="10">
                  <c:v>8.6999999999999993</c:v>
                </c:pt>
                <c:pt idx="11">
                  <c:v>10.4</c:v>
                </c:pt>
                <c:pt idx="12">
                  <c:v>8.1</c:v>
                </c:pt>
                <c:pt idx="13">
                  <c:v>6.5</c:v>
                </c:pt>
                <c:pt idx="14">
                  <c:v>4.3</c:v>
                </c:pt>
                <c:pt idx="15">
                  <c:v>7.4</c:v>
                </c:pt>
                <c:pt idx="16">
                  <c:v>4.3</c:v>
                </c:pt>
                <c:pt idx="17">
                  <c:v>4.0999999999999996</c:v>
                </c:pt>
                <c:pt idx="18">
                  <c:v>7.5</c:v>
                </c:pt>
                <c:pt idx="19">
                  <c:v>4.0999999999999996</c:v>
                </c:pt>
                <c:pt idx="20">
                  <c:v>6.4</c:v>
                </c:pt>
                <c:pt idx="21">
                  <c:v>5.2</c:v>
                </c:pt>
                <c:pt idx="22" formatCode="0.0">
                  <c:v>6.3</c:v>
                </c:pt>
                <c:pt idx="23">
                  <c:v>3.4</c:v>
                </c:pt>
                <c:pt idx="24">
                  <c:v>4.7</c:v>
                </c:pt>
                <c:pt idx="25" formatCode="0.0">
                  <c:v>6.4</c:v>
                </c:pt>
                <c:pt idx="26">
                  <c:v>3.6</c:v>
                </c:pt>
                <c:pt idx="27">
                  <c:v>4.8</c:v>
                </c:pt>
                <c:pt idx="28">
                  <c:v>4.9000000000000004</c:v>
                </c:pt>
                <c:pt idx="29">
                  <c:v>5</c:v>
                </c:pt>
                <c:pt idx="30">
                  <c:v>5.2</c:v>
                </c:pt>
                <c:pt idx="31">
                  <c:v>3.8</c:v>
                </c:pt>
                <c:pt idx="32">
                  <c:v>7.6</c:v>
                </c:pt>
                <c:pt idx="33">
                  <c:v>5.6</c:v>
                </c:pt>
                <c:pt idx="34">
                  <c:v>5</c:v>
                </c:pt>
                <c:pt idx="35">
                  <c:v>7</c:v>
                </c:pt>
                <c:pt idx="36">
                  <c:v>5.3</c:v>
                </c:pt>
                <c:pt idx="37">
                  <c:v>6.2</c:v>
                </c:pt>
                <c:pt idx="38">
                  <c:v>9.3000000000000007</c:v>
                </c:pt>
                <c:pt idx="39">
                  <c:v>4.4000000000000004</c:v>
                </c:pt>
                <c:pt idx="40" formatCode="0.0">
                  <c:v>5.4</c:v>
                </c:pt>
                <c:pt idx="41">
                  <c:v>7.7</c:v>
                </c:pt>
                <c:pt idx="42">
                  <c:v>7</c:v>
                </c:pt>
                <c:pt idx="43">
                  <c:v>4.0999999999999996</c:v>
                </c:pt>
                <c:pt idx="44">
                  <c:v>6.6</c:v>
                </c:pt>
                <c:pt idx="45">
                  <c:v>5.8</c:v>
                </c:pt>
                <c:pt idx="46">
                  <c:v>3.6</c:v>
                </c:pt>
                <c:pt idx="47">
                  <c:v>8.3000000000000007</c:v>
                </c:pt>
                <c:pt idx="48">
                  <c:v>7.1</c:v>
                </c:pt>
                <c:pt idx="49">
                  <c:v>4.3</c:v>
                </c:pt>
                <c:pt idx="50">
                  <c:v>5.0999999999999996</c:v>
                </c:pt>
                <c:pt idx="51">
                  <c:v>11.1</c:v>
                </c:pt>
                <c:pt idx="52">
                  <c:v>5.5</c:v>
                </c:pt>
                <c:pt idx="53">
                  <c:v>5.8</c:v>
                </c:pt>
                <c:pt idx="54">
                  <c:v>7.6</c:v>
                </c:pt>
                <c:pt idx="55">
                  <c:v>8</c:v>
                </c:pt>
                <c:pt idx="56">
                  <c:v>6.5</c:v>
                </c:pt>
                <c:pt idx="57">
                  <c:v>6</c:v>
                </c:pt>
                <c:pt idx="58">
                  <c:v>7.3</c:v>
                </c:pt>
                <c:pt idx="59">
                  <c:v>12.6</c:v>
                </c:pt>
                <c:pt idx="60" formatCode="0.0">
                  <c:v>5.2</c:v>
                </c:pt>
                <c:pt idx="61">
                  <c:v>7.9</c:v>
                </c:pt>
                <c:pt idx="62">
                  <c:v>5</c:v>
                </c:pt>
                <c:pt idx="63">
                  <c:v>3.7</c:v>
                </c:pt>
                <c:pt idx="64">
                  <c:v>3.7</c:v>
                </c:pt>
                <c:pt idx="65">
                  <c:v>9.1</c:v>
                </c:pt>
                <c:pt idx="66">
                  <c:v>6.2</c:v>
                </c:pt>
                <c:pt idx="67">
                  <c:v>6.4</c:v>
                </c:pt>
                <c:pt idx="68">
                  <c:v>5.2</c:v>
                </c:pt>
                <c:pt idx="69">
                  <c:v>8</c:v>
                </c:pt>
                <c:pt idx="70">
                  <c:v>5.4</c:v>
                </c:pt>
                <c:pt idx="71" formatCode="0.0">
                  <c:v>19.399999999999999</c:v>
                </c:pt>
                <c:pt idx="72">
                  <c:v>7.2</c:v>
                </c:pt>
                <c:pt idx="73">
                  <c:v>13.5</c:v>
                </c:pt>
                <c:pt idx="74">
                  <c:v>10.7</c:v>
                </c:pt>
                <c:pt idx="75">
                  <c:v>10.199999999999999</c:v>
                </c:pt>
                <c:pt idx="76">
                  <c:v>5.7</c:v>
                </c:pt>
                <c:pt idx="77">
                  <c:v>7.2</c:v>
                </c:pt>
                <c:pt idx="78">
                  <c:v>14.7</c:v>
                </c:pt>
                <c:pt idx="79">
                  <c:v>10.1</c:v>
                </c:pt>
                <c:pt idx="80">
                  <c:v>11.7</c:v>
                </c:pt>
                <c:pt idx="81">
                  <c:v>10.3</c:v>
                </c:pt>
                <c:pt idx="82">
                  <c:v>12.5</c:v>
                </c:pt>
                <c:pt idx="83" formatCode="0.0">
                  <c:v>11.9</c:v>
                </c:pt>
                <c:pt idx="84">
                  <c:v>6.6</c:v>
                </c:pt>
                <c:pt idx="85">
                  <c:v>7.6</c:v>
                </c:pt>
                <c:pt idx="86">
                  <c:v>15.8</c:v>
                </c:pt>
                <c:pt idx="87" formatCode="0.0">
                  <c:v>11.4</c:v>
                </c:pt>
                <c:pt idx="88">
                  <c:v>15.4</c:v>
                </c:pt>
                <c:pt idx="89">
                  <c:v>23.8</c:v>
                </c:pt>
                <c:pt idx="90">
                  <c:v>7.8</c:v>
                </c:pt>
                <c:pt idx="91">
                  <c:v>9</c:v>
                </c:pt>
                <c:pt idx="92">
                  <c:v>10.9</c:v>
                </c:pt>
                <c:pt idx="93">
                  <c:v>6.6</c:v>
                </c:pt>
                <c:pt idx="94">
                  <c:v>8.6</c:v>
                </c:pt>
                <c:pt idx="95">
                  <c:v>7</c:v>
                </c:pt>
                <c:pt idx="96">
                  <c:v>5.5</c:v>
                </c:pt>
                <c:pt idx="97">
                  <c:v>15.3</c:v>
                </c:pt>
                <c:pt idx="98">
                  <c:v>8.9</c:v>
                </c:pt>
                <c:pt idx="99" formatCode="0.0">
                  <c:v>18.600000000000001</c:v>
                </c:pt>
                <c:pt idx="100" formatCode="0.0">
                  <c:v>19</c:v>
                </c:pt>
                <c:pt idx="101">
                  <c:v>9.5</c:v>
                </c:pt>
                <c:pt idx="102">
                  <c:v>7.6</c:v>
                </c:pt>
                <c:pt idx="103" formatCode="0.0">
                  <c:v>14.7</c:v>
                </c:pt>
                <c:pt idx="104">
                  <c:v>14.6</c:v>
                </c:pt>
                <c:pt idx="105">
                  <c:v>12.4</c:v>
                </c:pt>
                <c:pt idx="106">
                  <c:v>10.8</c:v>
                </c:pt>
                <c:pt idx="107">
                  <c:v>13</c:v>
                </c:pt>
                <c:pt idx="108">
                  <c:v>8.9</c:v>
                </c:pt>
                <c:pt idx="109">
                  <c:v>6.5</c:v>
                </c:pt>
                <c:pt idx="110" formatCode="0.0">
                  <c:v>9.3000000000000007</c:v>
                </c:pt>
                <c:pt idx="111">
                  <c:v>10.9</c:v>
                </c:pt>
                <c:pt idx="112">
                  <c:v>7.9</c:v>
                </c:pt>
                <c:pt idx="113" formatCode="0.0">
                  <c:v>18.600000000000001</c:v>
                </c:pt>
                <c:pt idx="114">
                  <c:v>9.3000000000000007</c:v>
                </c:pt>
                <c:pt idx="115">
                  <c:v>7.2</c:v>
                </c:pt>
                <c:pt idx="116">
                  <c:v>8.9</c:v>
                </c:pt>
                <c:pt idx="117">
                  <c:v>11</c:v>
                </c:pt>
                <c:pt idx="118">
                  <c:v>10.3</c:v>
                </c:pt>
                <c:pt idx="119">
                  <c:v>5.6</c:v>
                </c:pt>
                <c:pt idx="120">
                  <c:v>7.3</c:v>
                </c:pt>
                <c:pt idx="121" formatCode="0.0">
                  <c:v>14</c:v>
                </c:pt>
                <c:pt idx="122">
                  <c:v>10</c:v>
                </c:pt>
                <c:pt idx="123">
                  <c:v>10</c:v>
                </c:pt>
                <c:pt idx="124" formatCode="0.0">
                  <c:v>21.9</c:v>
                </c:pt>
                <c:pt idx="125">
                  <c:v>11.9</c:v>
                </c:pt>
                <c:pt idx="126" formatCode="0.0">
                  <c:v>9.3000000000000007</c:v>
                </c:pt>
                <c:pt idx="127">
                  <c:v>9.1999999999999993</c:v>
                </c:pt>
                <c:pt idx="128">
                  <c:v>21.8</c:v>
                </c:pt>
                <c:pt idx="129">
                  <c:v>10.5</c:v>
                </c:pt>
                <c:pt idx="130">
                  <c:v>8.6</c:v>
                </c:pt>
                <c:pt idx="131">
                  <c:v>6.4</c:v>
                </c:pt>
                <c:pt idx="132">
                  <c:v>20.399999999999999</c:v>
                </c:pt>
                <c:pt idx="133">
                  <c:v>7.7</c:v>
                </c:pt>
                <c:pt idx="134">
                  <c:v>13</c:v>
                </c:pt>
                <c:pt idx="135">
                  <c:v>12.9</c:v>
                </c:pt>
                <c:pt idx="136">
                  <c:v>11.3</c:v>
                </c:pt>
                <c:pt idx="137">
                  <c:v>11.9</c:v>
                </c:pt>
                <c:pt idx="138">
                  <c:v>23.6</c:v>
                </c:pt>
                <c:pt idx="139">
                  <c:v>11</c:v>
                </c:pt>
                <c:pt idx="140">
                  <c:v>8.5</c:v>
                </c:pt>
                <c:pt idx="141">
                  <c:v>16.3</c:v>
                </c:pt>
                <c:pt idx="142">
                  <c:v>8.9</c:v>
                </c:pt>
                <c:pt idx="143">
                  <c:v>12.8</c:v>
                </c:pt>
                <c:pt idx="144">
                  <c:v>8.4</c:v>
                </c:pt>
                <c:pt idx="145">
                  <c:v>6.9</c:v>
                </c:pt>
                <c:pt idx="146">
                  <c:v>11.5</c:v>
                </c:pt>
                <c:pt idx="147">
                  <c:v>10.3</c:v>
                </c:pt>
                <c:pt idx="148">
                  <c:v>21.5</c:v>
                </c:pt>
                <c:pt idx="149">
                  <c:v>12.7</c:v>
                </c:pt>
                <c:pt idx="150">
                  <c:v>9.6999999999999993</c:v>
                </c:pt>
                <c:pt idx="151">
                  <c:v>12.5</c:v>
                </c:pt>
                <c:pt idx="152">
                  <c:v>8.9</c:v>
                </c:pt>
                <c:pt idx="153">
                  <c:v>9.1</c:v>
                </c:pt>
                <c:pt idx="154">
                  <c:v>7.3</c:v>
                </c:pt>
                <c:pt idx="155">
                  <c:v>9.6999999999999993</c:v>
                </c:pt>
                <c:pt idx="156">
                  <c:v>14</c:v>
                </c:pt>
                <c:pt idx="157" formatCode="0.0">
                  <c:v>14.5</c:v>
                </c:pt>
                <c:pt idx="158">
                  <c:v>16.7</c:v>
                </c:pt>
                <c:pt idx="159">
                  <c:v>11.8</c:v>
                </c:pt>
                <c:pt idx="160">
                  <c:v>13.9</c:v>
                </c:pt>
                <c:pt idx="161">
                  <c:v>12</c:v>
                </c:pt>
                <c:pt idx="162">
                  <c:v>11.3</c:v>
                </c:pt>
                <c:pt idx="163">
                  <c:v>13.3</c:v>
                </c:pt>
                <c:pt idx="164">
                  <c:v>9.8000000000000007</c:v>
                </c:pt>
                <c:pt idx="165">
                  <c:v>7.6</c:v>
                </c:pt>
                <c:pt idx="166">
                  <c:v>13.5</c:v>
                </c:pt>
                <c:pt idx="167">
                  <c:v>16.5</c:v>
                </c:pt>
                <c:pt idx="168">
                  <c:v>13.3</c:v>
                </c:pt>
                <c:pt idx="169">
                  <c:v>9.8000000000000007</c:v>
                </c:pt>
                <c:pt idx="170">
                  <c:v>12.2</c:v>
                </c:pt>
                <c:pt idx="171">
                  <c:v>14.7</c:v>
                </c:pt>
                <c:pt idx="172">
                  <c:v>10.199999999999999</c:v>
                </c:pt>
                <c:pt idx="173">
                  <c:v>14.7</c:v>
                </c:pt>
                <c:pt idx="174">
                  <c:v>10.9</c:v>
                </c:pt>
                <c:pt idx="175">
                  <c:v>19.7</c:v>
                </c:pt>
                <c:pt idx="176">
                  <c:v>12.4</c:v>
                </c:pt>
                <c:pt idx="177">
                  <c:v>11.5</c:v>
                </c:pt>
                <c:pt idx="178">
                  <c:v>6.4</c:v>
                </c:pt>
                <c:pt idx="179">
                  <c:v>14.9</c:v>
                </c:pt>
                <c:pt idx="180">
                  <c:v>7.9</c:v>
                </c:pt>
                <c:pt idx="181">
                  <c:v>7.5</c:v>
                </c:pt>
                <c:pt idx="182">
                  <c:v>9.9</c:v>
                </c:pt>
                <c:pt idx="183">
                  <c:v>19.399999999999999</c:v>
                </c:pt>
                <c:pt idx="184">
                  <c:v>36.700000000000003</c:v>
                </c:pt>
                <c:pt idx="185">
                  <c:v>11.4</c:v>
                </c:pt>
                <c:pt idx="186">
                  <c:v>15.2</c:v>
                </c:pt>
                <c:pt idx="187">
                  <c:v>13.2</c:v>
                </c:pt>
                <c:pt idx="188">
                  <c:v>16.5</c:v>
                </c:pt>
                <c:pt idx="189">
                  <c:v>9.1</c:v>
                </c:pt>
                <c:pt idx="190">
                  <c:v>12.4</c:v>
                </c:pt>
                <c:pt idx="191">
                  <c:v>10.199999999999999</c:v>
                </c:pt>
                <c:pt idx="192">
                  <c:v>18.899999999999999</c:v>
                </c:pt>
                <c:pt idx="193">
                  <c:v>23.9</c:v>
                </c:pt>
                <c:pt idx="194">
                  <c:v>13.7</c:v>
                </c:pt>
                <c:pt idx="195" formatCode="0.0">
                  <c:v>27.5</c:v>
                </c:pt>
                <c:pt idx="196">
                  <c:v>13.3</c:v>
                </c:pt>
                <c:pt idx="197">
                  <c:v>12</c:v>
                </c:pt>
                <c:pt idx="198">
                  <c:v>9.9</c:v>
                </c:pt>
                <c:pt idx="199" formatCode="0.0">
                  <c:v>16.8</c:v>
                </c:pt>
                <c:pt idx="200">
                  <c:v>12.8</c:v>
                </c:pt>
                <c:pt idx="201">
                  <c:v>12.8</c:v>
                </c:pt>
                <c:pt idx="202">
                  <c:v>16.3</c:v>
                </c:pt>
                <c:pt idx="203">
                  <c:v>10.4</c:v>
                </c:pt>
                <c:pt idx="204">
                  <c:v>27.7</c:v>
                </c:pt>
                <c:pt idx="205">
                  <c:v>19.3</c:v>
                </c:pt>
                <c:pt idx="206">
                  <c:v>14.8</c:v>
                </c:pt>
                <c:pt idx="207">
                  <c:v>29.1</c:v>
                </c:pt>
                <c:pt idx="208">
                  <c:v>19.3</c:v>
                </c:pt>
                <c:pt idx="209" formatCode="0.0">
                  <c:v>27</c:v>
                </c:pt>
                <c:pt idx="210">
                  <c:v>9.4</c:v>
                </c:pt>
                <c:pt idx="211">
                  <c:v>5.0999999999999996</c:v>
                </c:pt>
                <c:pt idx="212">
                  <c:v>15.8</c:v>
                </c:pt>
                <c:pt idx="213">
                  <c:v>13.5</c:v>
                </c:pt>
                <c:pt idx="214">
                  <c:v>15.4</c:v>
                </c:pt>
                <c:pt idx="215">
                  <c:v>5.7</c:v>
                </c:pt>
                <c:pt idx="216">
                  <c:v>7.8</c:v>
                </c:pt>
                <c:pt idx="217">
                  <c:v>35</c:v>
                </c:pt>
                <c:pt idx="218">
                  <c:v>19.2</c:v>
                </c:pt>
                <c:pt idx="219">
                  <c:v>23.5</c:v>
                </c:pt>
                <c:pt idx="220" formatCode="0.0">
                  <c:v>21.5</c:v>
                </c:pt>
                <c:pt idx="221">
                  <c:v>7.7</c:v>
                </c:pt>
                <c:pt idx="222">
                  <c:v>22.1</c:v>
                </c:pt>
                <c:pt idx="223">
                  <c:v>17.3</c:v>
                </c:pt>
                <c:pt idx="224">
                  <c:v>14.5</c:v>
                </c:pt>
                <c:pt idx="225">
                  <c:v>27.5</c:v>
                </c:pt>
                <c:pt idx="226">
                  <c:v>7.2</c:v>
                </c:pt>
                <c:pt idx="227">
                  <c:v>27</c:v>
                </c:pt>
                <c:pt idx="228">
                  <c:v>16.5</c:v>
                </c:pt>
                <c:pt idx="229">
                  <c:v>9</c:v>
                </c:pt>
                <c:pt idx="230">
                  <c:v>37.700000000000003</c:v>
                </c:pt>
                <c:pt idx="231">
                  <c:v>32.1</c:v>
                </c:pt>
                <c:pt idx="232">
                  <c:v>22.2</c:v>
                </c:pt>
                <c:pt idx="233">
                  <c:v>10.3</c:v>
                </c:pt>
                <c:pt idx="234">
                  <c:v>20.8</c:v>
                </c:pt>
                <c:pt idx="235">
                  <c:v>22.2</c:v>
                </c:pt>
                <c:pt idx="236">
                  <c:v>4.2</c:v>
                </c:pt>
                <c:pt idx="237">
                  <c:v>36.299999999999997</c:v>
                </c:pt>
                <c:pt idx="238">
                  <c:v>29.8</c:v>
                </c:pt>
                <c:pt idx="239">
                  <c:v>34.700000000000003</c:v>
                </c:pt>
              </c:numCache>
            </c:numRef>
          </c:yVal>
          <c:smooth val="0"/>
        </c:ser>
        <c:ser>
          <c:idx val="10"/>
          <c:order val="10"/>
          <c:tx>
            <c:v>Año 9 - Jul 15</c:v>
          </c:tx>
          <c:spPr>
            <a:ln w="28575">
              <a:noFill/>
            </a:ln>
          </c:spPr>
          <c:marker>
            <c:symbol val="circle"/>
            <c:size val="7"/>
            <c:spPr>
              <a:solidFill>
                <a:srgbClr val="00B050"/>
              </a:solidFill>
              <a:ln>
                <a:solidFill>
                  <a:srgbClr val="003300"/>
                </a:solidFill>
              </a:ln>
            </c:spPr>
          </c:marker>
          <c:xVal>
            <c:numRef>
              <c:f>'Graficos balance'!$Q$609:$Q$628</c:f>
              <c:numCache>
                <c:formatCode>0.0</c:formatCode>
                <c:ptCount val="20"/>
                <c:pt idx="0">
                  <c:v>-10.022660999999999</c:v>
                </c:pt>
                <c:pt idx="1">
                  <c:v>4.596127000000001</c:v>
                </c:pt>
                <c:pt idx="2">
                  <c:v>7.0720659999999995</c:v>
                </c:pt>
                <c:pt idx="3">
                  <c:v>15.504552</c:v>
                </c:pt>
                <c:pt idx="4">
                  <c:v>26.22748</c:v>
                </c:pt>
                <c:pt idx="5">
                  <c:v>-9.1844160000000006</c:v>
                </c:pt>
                <c:pt idx="6">
                  <c:v>4.6775589999999987</c:v>
                </c:pt>
                <c:pt idx="7">
                  <c:v>10.054600000000001</c:v>
                </c:pt>
                <c:pt idx="8">
                  <c:v>12.8688</c:v>
                </c:pt>
                <c:pt idx="9">
                  <c:v>25.401502000000004</c:v>
                </c:pt>
                <c:pt idx="10">
                  <c:v>-8.3158949999999994</c:v>
                </c:pt>
                <c:pt idx="11">
                  <c:v>6.1481199999999987</c:v>
                </c:pt>
                <c:pt idx="12">
                  <c:v>8.417781999999999</c:v>
                </c:pt>
                <c:pt idx="13">
                  <c:v>9.191831999999998</c:v>
                </c:pt>
                <c:pt idx="14">
                  <c:v>26.615500000000004</c:v>
                </c:pt>
                <c:pt idx="15">
                  <c:v>-9.3049109999999988</c:v>
                </c:pt>
                <c:pt idx="16">
                  <c:v>3.8074720000000006</c:v>
                </c:pt>
                <c:pt idx="17">
                  <c:v>8.2006299999999985</c:v>
                </c:pt>
                <c:pt idx="18">
                  <c:v>12.834052199999999</c:v>
                </c:pt>
                <c:pt idx="19">
                  <c:v>27.132280000000002</c:v>
                </c:pt>
              </c:numCache>
            </c:numRef>
          </c:xVal>
          <c:yVal>
            <c:numRef>
              <c:f>'Graficos balance'!$R$609:$R$628</c:f>
              <c:numCache>
                <c:formatCode>General</c:formatCode>
                <c:ptCount val="20"/>
                <c:pt idx="0">
                  <c:v>5</c:v>
                </c:pt>
                <c:pt idx="1">
                  <c:v>11.8</c:v>
                </c:pt>
                <c:pt idx="2">
                  <c:v>10.9</c:v>
                </c:pt>
                <c:pt idx="3">
                  <c:v>19.2</c:v>
                </c:pt>
                <c:pt idx="4">
                  <c:v>36.9</c:v>
                </c:pt>
                <c:pt idx="5">
                  <c:v>6.4</c:v>
                </c:pt>
                <c:pt idx="6">
                  <c:v>13.9</c:v>
                </c:pt>
                <c:pt idx="7">
                  <c:v>13.3</c:v>
                </c:pt>
                <c:pt idx="8">
                  <c:v>29.1</c:v>
                </c:pt>
                <c:pt idx="9">
                  <c:v>48.8</c:v>
                </c:pt>
                <c:pt idx="10">
                  <c:v>7.2</c:v>
                </c:pt>
                <c:pt idx="11">
                  <c:v>9.8000000000000007</c:v>
                </c:pt>
                <c:pt idx="12">
                  <c:v>13.2</c:v>
                </c:pt>
                <c:pt idx="13">
                  <c:v>18.899999999999999</c:v>
                </c:pt>
                <c:pt idx="14">
                  <c:v>34.299999999999997</c:v>
                </c:pt>
                <c:pt idx="15">
                  <c:v>6.2</c:v>
                </c:pt>
                <c:pt idx="16">
                  <c:v>9.1</c:v>
                </c:pt>
                <c:pt idx="17">
                  <c:v>11.4</c:v>
                </c:pt>
                <c:pt idx="18">
                  <c:v>14.8</c:v>
                </c:pt>
                <c:pt idx="19">
                  <c:v>30.5</c:v>
                </c:pt>
              </c:numCache>
            </c:numRef>
          </c:yVal>
          <c:smooth val="0"/>
        </c:ser>
        <c:ser>
          <c:idx val="11"/>
          <c:order val="11"/>
          <c:tx>
            <c:v>Año 10 - Jul 16</c:v>
          </c:tx>
          <c:spPr>
            <a:ln w="28575">
              <a:noFill/>
            </a:ln>
          </c:spPr>
          <c:xVal>
            <c:numRef>
              <c:f>'Graficos balance'!$Q$629:$Q$648</c:f>
              <c:numCache>
                <c:formatCode>0.0</c:formatCode>
                <c:ptCount val="20"/>
                <c:pt idx="0">
                  <c:v>-15.618157142857143</c:v>
                </c:pt>
                <c:pt idx="1">
                  <c:v>-12.793375000000001</c:v>
                </c:pt>
                <c:pt idx="2">
                  <c:v>-3.0470285714285765</c:v>
                </c:pt>
                <c:pt idx="3">
                  <c:v>7.3350285714285661</c:v>
                </c:pt>
                <c:pt idx="4">
                  <c:v>9.3740142857142814</c:v>
                </c:pt>
                <c:pt idx="5">
                  <c:v>-11.1128</c:v>
                </c:pt>
                <c:pt idx="6">
                  <c:v>-10.775182142857147</c:v>
                </c:pt>
                <c:pt idx="7">
                  <c:v>-2.4520107142857128</c:v>
                </c:pt>
                <c:pt idx="8">
                  <c:v>8.0606499999999954</c:v>
                </c:pt>
                <c:pt idx="9">
                  <c:v>22.97491071428572</c:v>
                </c:pt>
                <c:pt idx="10">
                  <c:v>-14.486742857142858</c:v>
                </c:pt>
                <c:pt idx="11">
                  <c:v>-10.777875000000002</c:v>
                </c:pt>
                <c:pt idx="12">
                  <c:v>-1.8927250000000058</c:v>
                </c:pt>
                <c:pt idx="13">
                  <c:v>5.8028964285714295</c:v>
                </c:pt>
                <c:pt idx="14">
                  <c:v>27.671771428571429</c:v>
                </c:pt>
                <c:pt idx="15">
                  <c:v>-14.318594642857144</c:v>
                </c:pt>
                <c:pt idx="16">
                  <c:v>-6.7221214285714268</c:v>
                </c:pt>
                <c:pt idx="17">
                  <c:v>1.3253428571428572</c:v>
                </c:pt>
                <c:pt idx="18">
                  <c:v>4.8074714285714322</c:v>
                </c:pt>
                <c:pt idx="19">
                  <c:v>17.83248571428571</c:v>
                </c:pt>
              </c:numCache>
            </c:numRef>
          </c:xVal>
          <c:yVal>
            <c:numRef>
              <c:f>'Graficos balance'!$R$629:$R$648</c:f>
              <c:numCache>
                <c:formatCode>General</c:formatCode>
                <c:ptCount val="20"/>
                <c:pt idx="0">
                  <c:v>5.2</c:v>
                </c:pt>
                <c:pt idx="1">
                  <c:v>7.7</c:v>
                </c:pt>
                <c:pt idx="2">
                  <c:v>14.6</c:v>
                </c:pt>
                <c:pt idx="3">
                  <c:v>11.5</c:v>
                </c:pt>
                <c:pt idx="4">
                  <c:v>23.9</c:v>
                </c:pt>
                <c:pt idx="5">
                  <c:v>5.0999999999999996</c:v>
                </c:pt>
                <c:pt idx="6">
                  <c:v>8</c:v>
                </c:pt>
                <c:pt idx="7">
                  <c:v>8.9</c:v>
                </c:pt>
                <c:pt idx="8">
                  <c:v>9.9</c:v>
                </c:pt>
                <c:pt idx="9">
                  <c:v>34.700000000000003</c:v>
                </c:pt>
                <c:pt idx="10">
                  <c:v>4.9000000000000004</c:v>
                </c:pt>
                <c:pt idx="11">
                  <c:v>7.6</c:v>
                </c:pt>
                <c:pt idx="12">
                  <c:v>8.9</c:v>
                </c:pt>
                <c:pt idx="13">
                  <c:v>16.5</c:v>
                </c:pt>
                <c:pt idx="14">
                  <c:v>22.1</c:v>
                </c:pt>
                <c:pt idx="15">
                  <c:v>5.2</c:v>
                </c:pt>
                <c:pt idx="16">
                  <c:v>10.3</c:v>
                </c:pt>
                <c:pt idx="17">
                  <c:v>11</c:v>
                </c:pt>
                <c:pt idx="18">
                  <c:v>12</c:v>
                </c:pt>
                <c:pt idx="19">
                  <c:v>17.3</c:v>
                </c:pt>
              </c:numCache>
            </c:numRef>
          </c:yVal>
          <c:smooth val="0"/>
        </c:ser>
        <c:ser>
          <c:idx val="12"/>
          <c:order val="12"/>
          <c:tx>
            <c:v>Año 11 - Jul 17</c:v>
          </c:tx>
          <c:spPr>
            <a:ln w="28575">
              <a:noFill/>
            </a:ln>
          </c:spPr>
          <c:marker>
            <c:symbol val="square"/>
            <c:size val="7"/>
            <c:spPr>
              <a:solidFill>
                <a:srgbClr val="FFFF00"/>
              </a:solidFill>
              <a:ln>
                <a:solidFill>
                  <a:schemeClr val="tx1"/>
                </a:solidFill>
              </a:ln>
            </c:spPr>
          </c:marker>
          <c:xVal>
            <c:numRef>
              <c:f>'Graficos balance'!$Q$649:$Q$668</c:f>
              <c:numCache>
                <c:formatCode>0.0</c:formatCode>
                <c:ptCount val="20"/>
                <c:pt idx="0">
                  <c:v>-14.2011144</c:v>
                </c:pt>
                <c:pt idx="1">
                  <c:v>-11.238377600000003</c:v>
                </c:pt>
                <c:pt idx="2">
                  <c:v>0.21624600000000171</c:v>
                </c:pt>
                <c:pt idx="3">
                  <c:v>-5.4111750000000001</c:v>
                </c:pt>
                <c:pt idx="4">
                  <c:v>-5.3963549000000057</c:v>
                </c:pt>
                <c:pt idx="5">
                  <c:v>-14.922022500000001</c:v>
                </c:pt>
                <c:pt idx="6">
                  <c:v>-7.8697550000000014</c:v>
                </c:pt>
                <c:pt idx="7">
                  <c:v>0.81802500000000222</c:v>
                </c:pt>
                <c:pt idx="8">
                  <c:v>-4.738578000000004</c:v>
                </c:pt>
                <c:pt idx="9">
                  <c:v>1.0658223999999947</c:v>
                </c:pt>
                <c:pt idx="10">
                  <c:v>-12.564096300000001</c:v>
                </c:pt>
                <c:pt idx="11">
                  <c:v>-9.0394003999999981</c:v>
                </c:pt>
                <c:pt idx="12">
                  <c:v>-4.5960720000000066</c:v>
                </c:pt>
                <c:pt idx="13">
                  <c:v>-5.5716900000000038</c:v>
                </c:pt>
                <c:pt idx="14">
                  <c:v>4.2965587000000056</c:v>
                </c:pt>
                <c:pt idx="15">
                  <c:v>-10.9872909</c:v>
                </c:pt>
                <c:pt idx="16">
                  <c:v>-10.711731799999999</c:v>
                </c:pt>
                <c:pt idx="17">
                  <c:v>-8.0569319999999962</c:v>
                </c:pt>
                <c:pt idx="18">
                  <c:v>-0.96984240000000099</c:v>
                </c:pt>
                <c:pt idx="19">
                  <c:v>6.4381419999999991</c:v>
                </c:pt>
              </c:numCache>
            </c:numRef>
          </c:xVal>
          <c:yVal>
            <c:numRef>
              <c:f>'Graficos balance'!$R$649:$R$668</c:f>
              <c:numCache>
                <c:formatCode>General</c:formatCode>
                <c:ptCount val="20"/>
                <c:pt idx="0">
                  <c:v>3.8</c:v>
                </c:pt>
                <c:pt idx="1">
                  <c:v>7.1</c:v>
                </c:pt>
                <c:pt idx="2">
                  <c:v>6.4</c:v>
                </c:pt>
                <c:pt idx="3">
                  <c:v>15.4</c:v>
                </c:pt>
                <c:pt idx="4">
                  <c:v>23.8</c:v>
                </c:pt>
                <c:pt idx="5">
                  <c:v>3.6</c:v>
                </c:pt>
                <c:pt idx="6">
                  <c:v>5.7</c:v>
                </c:pt>
                <c:pt idx="7">
                  <c:v>12.9</c:v>
                </c:pt>
                <c:pt idx="8">
                  <c:v>10.9</c:v>
                </c:pt>
                <c:pt idx="9">
                  <c:v>23.6</c:v>
                </c:pt>
                <c:pt idx="10">
                  <c:v>4.0999999999999996</c:v>
                </c:pt>
                <c:pt idx="11">
                  <c:v>8</c:v>
                </c:pt>
                <c:pt idx="12">
                  <c:v>7</c:v>
                </c:pt>
                <c:pt idx="13">
                  <c:v>15.8</c:v>
                </c:pt>
                <c:pt idx="14">
                  <c:v>16.7</c:v>
                </c:pt>
                <c:pt idx="15">
                  <c:v>11.1</c:v>
                </c:pt>
                <c:pt idx="16">
                  <c:v>6.5</c:v>
                </c:pt>
                <c:pt idx="17">
                  <c:v>10.7</c:v>
                </c:pt>
                <c:pt idx="18">
                  <c:v>11.9</c:v>
                </c:pt>
                <c:pt idx="19">
                  <c:v>14.7</c:v>
                </c:pt>
              </c:numCache>
            </c:numRef>
          </c:yVal>
          <c:smooth val="0"/>
        </c:ser>
        <c:ser>
          <c:idx val="13"/>
          <c:order val="13"/>
          <c:tx>
            <c:v>Año 12 - Jul 18</c:v>
          </c:tx>
          <c:spPr>
            <a:ln w="28575">
              <a:noFill/>
            </a:ln>
          </c:spPr>
          <c:marker>
            <c:symbol val="star"/>
            <c:size val="6"/>
            <c:spPr>
              <a:noFill/>
              <a:ln>
                <a:solidFill>
                  <a:srgbClr val="FF0000"/>
                </a:solidFill>
              </a:ln>
            </c:spPr>
          </c:marker>
          <c:xVal>
            <c:numRef>
              <c:f>'Graficos balance'!$Q$669:$Q$688</c:f>
              <c:numCache>
                <c:formatCode>0.0</c:formatCode>
                <c:ptCount val="20"/>
                <c:pt idx="0">
                  <c:v>-11.529115714285716</c:v>
                </c:pt>
                <c:pt idx="1">
                  <c:v>-2.266737500000005</c:v>
                </c:pt>
                <c:pt idx="2">
                  <c:v>5.7105657142857176</c:v>
                </c:pt>
                <c:pt idx="3">
                  <c:v>9.128286785714284</c:v>
                </c:pt>
                <c:pt idx="4">
                  <c:v>24.329419642857147</c:v>
                </c:pt>
                <c:pt idx="5">
                  <c:v>-9.7255125000000024</c:v>
                </c:pt>
                <c:pt idx="6">
                  <c:v>2.5986960714285718</c:v>
                </c:pt>
                <c:pt idx="7">
                  <c:v>5.6872103571428561</c:v>
                </c:pt>
                <c:pt idx="8">
                  <c:v>11.090592499999998</c:v>
                </c:pt>
                <c:pt idx="9">
                  <c:v>24.354369999999999</c:v>
                </c:pt>
                <c:pt idx="10">
                  <c:v>-13.244652142857142</c:v>
                </c:pt>
                <c:pt idx="11">
                  <c:v>1.5629714285714229</c:v>
                </c:pt>
                <c:pt idx="12">
                  <c:v>10.334242857142854</c:v>
                </c:pt>
                <c:pt idx="13">
                  <c:v>7.2449335714285645</c:v>
                </c:pt>
                <c:pt idx="14">
                  <c:v>22.956238571428571</c:v>
                </c:pt>
                <c:pt idx="15">
                  <c:v>-9.6875742857142857</c:v>
                </c:pt>
                <c:pt idx="16">
                  <c:v>-1.2396714285714339</c:v>
                </c:pt>
                <c:pt idx="17">
                  <c:v>5.4398714285714256</c:v>
                </c:pt>
                <c:pt idx="18">
                  <c:v>7.3299242857142808</c:v>
                </c:pt>
                <c:pt idx="19">
                  <c:v>25.100260357142862</c:v>
                </c:pt>
              </c:numCache>
            </c:numRef>
          </c:xVal>
          <c:yVal>
            <c:numRef>
              <c:f>'Graficos balance'!$R$669:$R$688</c:f>
              <c:numCache>
                <c:formatCode>General</c:formatCode>
                <c:ptCount val="20"/>
                <c:pt idx="0">
                  <c:v>3.6</c:v>
                </c:pt>
                <c:pt idx="1">
                  <c:v>6.5</c:v>
                </c:pt>
                <c:pt idx="2">
                  <c:v>7.6</c:v>
                </c:pt>
                <c:pt idx="3">
                  <c:v>10.199999999999999</c:v>
                </c:pt>
                <c:pt idx="4">
                  <c:v>27.1</c:v>
                </c:pt>
                <c:pt idx="5">
                  <c:v>3.7</c:v>
                </c:pt>
                <c:pt idx="6">
                  <c:v>6.9</c:v>
                </c:pt>
                <c:pt idx="7">
                  <c:v>9.8000000000000007</c:v>
                </c:pt>
                <c:pt idx="8">
                  <c:v>12.8</c:v>
                </c:pt>
                <c:pt idx="9">
                  <c:v>31.6</c:v>
                </c:pt>
                <c:pt idx="10">
                  <c:v>4.4000000000000004</c:v>
                </c:pt>
                <c:pt idx="11">
                  <c:v>8.5</c:v>
                </c:pt>
                <c:pt idx="12">
                  <c:v>9.9</c:v>
                </c:pt>
                <c:pt idx="13">
                  <c:v>19.7</c:v>
                </c:pt>
                <c:pt idx="14">
                  <c:v>29.8</c:v>
                </c:pt>
                <c:pt idx="15">
                  <c:v>3.7</c:v>
                </c:pt>
                <c:pt idx="16">
                  <c:v>10</c:v>
                </c:pt>
                <c:pt idx="17">
                  <c:v>13.3</c:v>
                </c:pt>
                <c:pt idx="18">
                  <c:v>12.4</c:v>
                </c:pt>
                <c:pt idx="19">
                  <c:v>26.6</c:v>
                </c:pt>
              </c:numCache>
            </c:numRef>
          </c:yVal>
          <c:smooth val="0"/>
        </c:ser>
        <c:ser>
          <c:idx val="14"/>
          <c:order val="14"/>
          <c:tx>
            <c:v>Año 13 - Jul 19</c:v>
          </c:tx>
          <c:spPr>
            <a:ln w="28575">
              <a:noFill/>
            </a:ln>
          </c:spPr>
          <c:marker>
            <c:symbol val="circle"/>
            <c:size val="8"/>
          </c:marker>
          <c:xVal>
            <c:numRef>
              <c:f>'Graficos balance'!$Q$689:$Q$708</c:f>
              <c:numCache>
                <c:formatCode>0.0</c:formatCode>
                <c:ptCount val="20"/>
                <c:pt idx="0">
                  <c:v>-17.094152571428573</c:v>
                </c:pt>
                <c:pt idx="1">
                  <c:v>-8.9898942857142927</c:v>
                </c:pt>
                <c:pt idx="2">
                  <c:v>-1.971114285714286</c:v>
                </c:pt>
                <c:pt idx="3">
                  <c:v>8.2476590476190523</c:v>
                </c:pt>
                <c:pt idx="4">
                  <c:v>18.772510476190483</c:v>
                </c:pt>
                <c:pt idx="5">
                  <c:v>-16.692866666666667</c:v>
                </c:pt>
                <c:pt idx="6">
                  <c:v>-10.367848571428571</c:v>
                </c:pt>
                <c:pt idx="7">
                  <c:v>-8.1774419047619133</c:v>
                </c:pt>
                <c:pt idx="8">
                  <c:v>-1.3684057142857071</c:v>
                </c:pt>
                <c:pt idx="9">
                  <c:v>16.645647619047622</c:v>
                </c:pt>
                <c:pt idx="10">
                  <c:v>-18.462051428571428</c:v>
                </c:pt>
                <c:pt idx="11">
                  <c:v>-4.3010742857142858</c:v>
                </c:pt>
                <c:pt idx="12">
                  <c:v>2.5060799999999972</c:v>
                </c:pt>
                <c:pt idx="13">
                  <c:v>8.1483485714285706</c:v>
                </c:pt>
                <c:pt idx="14">
                  <c:v>12.19023428571429</c:v>
                </c:pt>
                <c:pt idx="15">
                  <c:v>-15.429819428571427</c:v>
                </c:pt>
                <c:pt idx="16">
                  <c:v>-11.177485714285716</c:v>
                </c:pt>
                <c:pt idx="17">
                  <c:v>-0.33643333333334269</c:v>
                </c:pt>
                <c:pt idx="18">
                  <c:v>8.4425066666666595</c:v>
                </c:pt>
                <c:pt idx="19">
                  <c:v>22.692070857142852</c:v>
                </c:pt>
              </c:numCache>
            </c:numRef>
          </c:xVal>
          <c:yVal>
            <c:numRef>
              <c:f>'Graficos balance'!$R$689:$R$708</c:f>
              <c:numCache>
                <c:formatCode>General</c:formatCode>
                <c:ptCount val="20"/>
                <c:pt idx="0">
                  <c:v>4.3</c:v>
                </c:pt>
                <c:pt idx="1">
                  <c:v>5.4</c:v>
                </c:pt>
                <c:pt idx="2">
                  <c:v>7.2</c:v>
                </c:pt>
                <c:pt idx="3">
                  <c:v>15.2</c:v>
                </c:pt>
                <c:pt idx="4">
                  <c:v>27</c:v>
                </c:pt>
                <c:pt idx="5">
                  <c:v>4.0999999999999996</c:v>
                </c:pt>
                <c:pt idx="6">
                  <c:v>7.3</c:v>
                </c:pt>
                <c:pt idx="7">
                  <c:v>13.5</c:v>
                </c:pt>
                <c:pt idx="8">
                  <c:v>5.6</c:v>
                </c:pt>
                <c:pt idx="9">
                  <c:v>22.1</c:v>
                </c:pt>
                <c:pt idx="10">
                  <c:v>4.3</c:v>
                </c:pt>
                <c:pt idx="11">
                  <c:v>5.5</c:v>
                </c:pt>
                <c:pt idx="12">
                  <c:v>8.4</c:v>
                </c:pt>
                <c:pt idx="13">
                  <c:v>19.399999999999999</c:v>
                </c:pt>
                <c:pt idx="14">
                  <c:v>27.7</c:v>
                </c:pt>
                <c:pt idx="15">
                  <c:v>3.4</c:v>
                </c:pt>
                <c:pt idx="16">
                  <c:v>4.3</c:v>
                </c:pt>
                <c:pt idx="17">
                  <c:v>8.6</c:v>
                </c:pt>
                <c:pt idx="18">
                  <c:v>16.5</c:v>
                </c:pt>
                <c:pt idx="19">
                  <c:v>36.299999999999997</c:v>
                </c:pt>
              </c:numCache>
            </c:numRef>
          </c:yVal>
          <c:smooth val="0"/>
        </c:ser>
        <c:dLbls>
          <c:showLegendKey val="0"/>
          <c:showVal val="0"/>
          <c:showCatName val="0"/>
          <c:showSerName val="0"/>
          <c:showPercent val="0"/>
          <c:showBubbleSize val="0"/>
        </c:dLbls>
        <c:axId val="461543568"/>
        <c:axId val="461544128"/>
      </c:scatterChart>
      <c:valAx>
        <c:axId val="461543568"/>
        <c:scaling>
          <c:orientation val="minMax"/>
          <c:max val="50"/>
          <c:min val="-50"/>
        </c:scaling>
        <c:delete val="0"/>
        <c:axPos val="b"/>
        <c:title>
          <c:tx>
            <c:rich>
              <a:bodyPr/>
              <a:lstStyle/>
              <a:p>
                <a:pPr>
                  <a:defRPr sz="1200" b="0" i="0" u="none" strike="noStrike" baseline="0">
                    <a:solidFill>
                      <a:srgbClr val="000000"/>
                    </a:solidFill>
                    <a:latin typeface="+mn-lt"/>
                    <a:ea typeface="Calibri"/>
                    <a:cs typeface="Calibri"/>
                  </a:defRPr>
                </a:pPr>
                <a:r>
                  <a:rPr lang="es-AR" sz="1200" b="1" i="0" u="none" strike="noStrike" baseline="0">
                    <a:solidFill>
                      <a:srgbClr val="000000"/>
                    </a:solidFill>
                    <a:latin typeface="+mn-lt"/>
                    <a:cs typeface="Arial"/>
                  </a:rPr>
                  <a:t>Balance de P (aplicado - extraído) (kg ha</a:t>
                </a:r>
                <a:r>
                  <a:rPr lang="es-AR" sz="1200" b="1" i="0" u="none" strike="noStrike" baseline="30000">
                    <a:solidFill>
                      <a:srgbClr val="000000"/>
                    </a:solidFill>
                    <a:latin typeface="+mn-lt"/>
                    <a:cs typeface="Arial"/>
                  </a:rPr>
                  <a:t>-1</a:t>
                </a:r>
                <a:r>
                  <a:rPr lang="es-AR" sz="1200" b="1" i="0" u="none" strike="noStrike" baseline="0">
                    <a:solidFill>
                      <a:srgbClr val="000000"/>
                    </a:solidFill>
                    <a:latin typeface="+mn-lt"/>
                    <a:cs typeface="Arial"/>
                  </a:rPr>
                  <a:t>)</a:t>
                </a:r>
              </a:p>
            </c:rich>
          </c:tx>
          <c:layout>
            <c:manualLayout>
              <c:xMode val="edge"/>
              <c:yMode val="edge"/>
              <c:x val="0.34336047284825416"/>
              <c:y val="0.92229490903404654"/>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s-ES"/>
          </a:p>
        </c:txPr>
        <c:crossAx val="461544128"/>
        <c:crosses val="autoZero"/>
        <c:crossBetween val="midCat"/>
      </c:valAx>
      <c:valAx>
        <c:axId val="461544128"/>
        <c:scaling>
          <c:orientation val="minMax"/>
        </c:scaling>
        <c:delete val="0"/>
        <c:axPos val="l"/>
        <c:title>
          <c:tx>
            <c:rich>
              <a:bodyPr/>
              <a:lstStyle/>
              <a:p>
                <a:pPr>
                  <a:defRPr sz="1200" b="0" i="0" u="none" strike="noStrike" baseline="0">
                    <a:solidFill>
                      <a:srgbClr val="000000"/>
                    </a:solidFill>
                    <a:latin typeface="+mn-lt"/>
                    <a:ea typeface="Calibri"/>
                    <a:cs typeface="Calibri"/>
                  </a:defRPr>
                </a:pPr>
                <a:r>
                  <a:rPr lang="es-AR" sz="1200" b="1" i="0" u="none" strike="noStrike" baseline="0">
                    <a:solidFill>
                      <a:srgbClr val="000000"/>
                    </a:solidFill>
                    <a:latin typeface="+mn-lt"/>
                    <a:cs typeface="Arial"/>
                  </a:rPr>
                  <a:t>P final en suelo (mg kg</a:t>
                </a:r>
                <a:r>
                  <a:rPr lang="es-AR" sz="1200" b="1" i="0" u="none" strike="noStrike" baseline="30000">
                    <a:solidFill>
                      <a:srgbClr val="000000"/>
                    </a:solidFill>
                    <a:latin typeface="+mn-lt"/>
                    <a:cs typeface="Arial"/>
                  </a:rPr>
                  <a:t>-1</a:t>
                </a:r>
                <a:r>
                  <a:rPr lang="es-AR" sz="1200" b="1" i="0" u="none" strike="noStrike" baseline="0">
                    <a:solidFill>
                      <a:srgbClr val="000000"/>
                    </a:solidFill>
                    <a:latin typeface="+mn-lt"/>
                    <a:cs typeface="Arial"/>
                  </a:rPr>
                  <a:t>)</a:t>
                </a:r>
              </a:p>
            </c:rich>
          </c:tx>
          <c:layout>
            <c:manualLayout>
              <c:xMode val="edge"/>
              <c:yMode val="edge"/>
              <c:x val="8.9445102548022203E-3"/>
              <c:y val="0.24020886278104125"/>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s-ES"/>
          </a:p>
        </c:txPr>
        <c:crossAx val="461543568"/>
        <c:crosses val="autoZero"/>
        <c:crossBetween val="midCat"/>
      </c:valAx>
      <c:spPr>
        <a:noFill/>
        <a:ln w="25400">
          <a:noFill/>
        </a:ln>
      </c:spPr>
    </c:plotArea>
    <c:legend>
      <c:legendPos val="r"/>
      <c:legendEntry>
        <c:idx val="5"/>
        <c:delete val="1"/>
      </c:legendEntry>
      <c:legendEntry>
        <c:idx val="9"/>
        <c:delete val="1"/>
      </c:legendEntry>
      <c:legendEntry>
        <c:idx val="15"/>
        <c:delete val="1"/>
      </c:legendEntry>
      <c:layout>
        <c:manualLayout>
          <c:xMode val="edge"/>
          <c:yMode val="edge"/>
          <c:x val="4.4635588693006295E-2"/>
          <c:y val="7.7712721030978399E-2"/>
          <c:w val="0.32055835061063909"/>
          <c:h val="0.48517665407990035"/>
        </c:manualLayout>
      </c:layout>
      <c:overlay val="0"/>
      <c:spPr>
        <a:noFill/>
        <a:ln w="25400">
          <a:noFill/>
        </a:ln>
      </c:spPr>
      <c:txPr>
        <a:bodyPr/>
        <a:lstStyle/>
        <a:p>
          <a:pPr>
            <a:defRPr sz="900" b="1" i="0" u="none" strike="noStrike" baseline="0">
              <a:solidFill>
                <a:srgbClr val="000000"/>
              </a:solidFill>
              <a:latin typeface="Arial"/>
              <a:ea typeface="Arial"/>
              <a:cs typeface="Arial"/>
            </a:defRPr>
          </a:pPr>
          <a:endParaRPr lang="es-ES"/>
        </a:p>
      </c:txPr>
    </c:legend>
    <c:plotVisOnly val="1"/>
    <c:dispBlanksAs val="gap"/>
    <c:showDLblsOverMax val="0"/>
  </c:chart>
  <c:spPr>
    <a:noFill/>
    <a:ln w="9525">
      <a:noFill/>
    </a:ln>
  </c:spPr>
  <c:txPr>
    <a:bodyPr/>
    <a:lstStyle/>
    <a:p>
      <a:pPr>
        <a:defRPr sz="900" b="1" i="0" u="none" strike="noStrike" baseline="0">
          <a:solidFill>
            <a:srgbClr val="000000"/>
          </a:solidFill>
          <a:latin typeface="Arial"/>
          <a:ea typeface="Arial"/>
          <a:cs typeface="Arial"/>
        </a:defRPr>
      </a:pPr>
      <a:endParaRPr lang="es-E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508077813994193"/>
          <c:y val="7.3239537356317885E-2"/>
          <c:w val="0.83669437206083441"/>
          <c:h val="0.76014891686926234"/>
        </c:manualLayout>
      </c:layout>
      <c:barChart>
        <c:barDir val="col"/>
        <c:grouping val="clustered"/>
        <c:varyColors val="0"/>
        <c:ser>
          <c:idx val="0"/>
          <c:order val="0"/>
          <c:spPr>
            <a:solidFill>
              <a:srgbClr val="CCFFCC"/>
            </a:solidFill>
            <a:ln w="12700">
              <a:solidFill>
                <a:srgbClr val="000000"/>
              </a:solidFill>
              <a:prstDash val="solid"/>
            </a:ln>
            <a:scene3d>
              <a:camera prst="orthographicFront"/>
              <a:lightRig rig="threePt" dir="t"/>
            </a:scene3d>
            <a:sp3d prstMaterial="matte">
              <a:bevelT w="127000" h="63500"/>
            </a:sp3d>
          </c:spPr>
          <c:invertIfNegative val="0"/>
          <c:dPt>
            <c:idx val="0"/>
            <c:invertIfNegative val="0"/>
            <c:bubble3D val="0"/>
            <c:spPr>
              <a:solidFill>
                <a:srgbClr val="3366FF"/>
              </a:solidFill>
              <a:ln w="12700">
                <a:solidFill>
                  <a:srgbClr val="000000"/>
                </a:solidFill>
                <a:prstDash val="solid"/>
              </a:ln>
              <a:scene3d>
                <a:camera prst="orthographicFront"/>
                <a:lightRig rig="threePt" dir="t"/>
              </a:scene3d>
              <a:sp3d prstMaterial="matte">
                <a:bevelT w="127000" h="63500"/>
              </a:sp3d>
            </c:spPr>
          </c:dPt>
          <c:dPt>
            <c:idx val="1"/>
            <c:invertIfNegative val="0"/>
            <c:bubble3D val="0"/>
            <c:spPr>
              <a:solidFill>
                <a:srgbClr val="00FF00"/>
              </a:solidFill>
              <a:ln w="12700">
                <a:solidFill>
                  <a:srgbClr val="000000"/>
                </a:solidFill>
                <a:prstDash val="solid"/>
              </a:ln>
              <a:scene3d>
                <a:camera prst="orthographicFront"/>
                <a:lightRig rig="threePt" dir="t"/>
              </a:scene3d>
              <a:sp3d prstMaterial="matte">
                <a:bevelT w="127000" h="63500"/>
              </a:sp3d>
            </c:spPr>
          </c:dPt>
          <c:dPt>
            <c:idx val="2"/>
            <c:invertIfNegative val="0"/>
            <c:bubble3D val="0"/>
            <c:spPr>
              <a:solidFill>
                <a:srgbClr val="FF0000"/>
              </a:solidFill>
              <a:ln w="12700">
                <a:solidFill>
                  <a:srgbClr val="000000"/>
                </a:solidFill>
                <a:prstDash val="solid"/>
              </a:ln>
              <a:scene3d>
                <a:camera prst="orthographicFront"/>
                <a:lightRig rig="threePt" dir="t"/>
              </a:scene3d>
              <a:sp3d prstMaterial="matte">
                <a:bevelT w="127000" h="63500"/>
              </a:sp3d>
            </c:spPr>
          </c:dPt>
          <c:dPt>
            <c:idx val="3"/>
            <c:invertIfNegative val="0"/>
            <c:bubble3D val="0"/>
            <c:spPr>
              <a:solidFill>
                <a:srgbClr val="800000"/>
              </a:solidFill>
              <a:ln w="12700">
                <a:solidFill>
                  <a:srgbClr val="000000"/>
                </a:solidFill>
                <a:prstDash val="solid"/>
              </a:ln>
              <a:scene3d>
                <a:camera prst="orthographicFront"/>
                <a:lightRig rig="threePt" dir="t"/>
              </a:scene3d>
              <a:sp3d prstMaterial="matte">
                <a:bevelT w="127000" h="63500"/>
              </a:sp3d>
            </c:spPr>
          </c:dPt>
          <c:dLbls>
            <c:dLbl>
              <c:idx val="0"/>
              <c:layout>
                <c:manualLayout>
                  <c:x val="5.0003429055117225E-2"/>
                  <c:y val="-1.4590604603889225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4.4459010092900514E-2"/>
                  <c:y val="5.8504055058132051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4.4963195848815959E-2"/>
                  <c:y val="-8.9429692590852969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4.5467169937641404E-2"/>
                  <c:y val="-1.0155700374396878E-2"/>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'Concentraciones NPS'!$AV$87:$AV$90</c:f>
                <c:numCache>
                  <c:formatCode>General</c:formatCode>
                  <c:ptCount val="4"/>
                  <c:pt idx="0">
                    <c:v>0.10191722501458871</c:v>
                  </c:pt>
                  <c:pt idx="1">
                    <c:v>0.1188701666310029</c:v>
                  </c:pt>
                  <c:pt idx="2">
                    <c:v>0.11036886785237009</c:v>
                  </c:pt>
                  <c:pt idx="3">
                    <c:v>9.1943602069513714E-2</c:v>
                  </c:pt>
                </c:numCache>
              </c:numRef>
            </c:plus>
            <c:minus>
              <c:numRef>
                <c:f>'Concentraciones NPS'!$AV$87:$AV$90</c:f>
                <c:numCache>
                  <c:formatCode>General</c:formatCode>
                  <c:ptCount val="4"/>
                  <c:pt idx="0">
                    <c:v>0.10191722501458871</c:v>
                  </c:pt>
                  <c:pt idx="1">
                    <c:v>0.1188701666310029</c:v>
                  </c:pt>
                  <c:pt idx="2">
                    <c:v>0.11036886785237009</c:v>
                  </c:pt>
                  <c:pt idx="3">
                    <c:v>9.1943602069513714E-2</c:v>
                  </c:pt>
                </c:numCache>
              </c:numRef>
            </c:minus>
            <c:spPr>
              <a:solidFill>
                <a:srgbClr val="CCFFCC"/>
              </a:solidFill>
              <a:ln w="12700">
                <a:solidFill>
                  <a:srgbClr val="000000"/>
                </a:solidFill>
                <a:prstDash val="solid"/>
              </a:ln>
              <a:scene3d>
                <a:camera prst="orthographicFront"/>
                <a:lightRig rig="threePt" dir="t"/>
              </a:scene3d>
              <a:sp3d prstMaterial="matte">
                <a:bevelT w="127000" h="63500"/>
              </a:sp3d>
            </c:spPr>
          </c:errBars>
          <c:cat>
            <c:strRef>
              <c:f>'Concentraciones NPS'!$Z$132:$Z$135</c:f>
              <c:strCache>
                <c:ptCount val="4"/>
                <c:pt idx="0">
                  <c:v>TUA</c:v>
                </c:pt>
                <c:pt idx="1">
                  <c:v>RepPS</c:v>
                </c:pt>
                <c:pt idx="2">
                  <c:v>RepPS AR</c:v>
                </c:pt>
                <c:pt idx="3">
                  <c:v>Reconstrucción</c:v>
                </c:pt>
              </c:strCache>
            </c:strRef>
          </c:cat>
          <c:val>
            <c:numRef>
              <c:f>'Concentraciones NPS'!$AU$87:$AU$90</c:f>
              <c:numCache>
                <c:formatCode>0.00</c:formatCode>
                <c:ptCount val="4"/>
                <c:pt idx="0">
                  <c:v>0.43972511491399574</c:v>
                </c:pt>
                <c:pt idx="1">
                  <c:v>0.41097097406331928</c:v>
                </c:pt>
                <c:pt idx="2">
                  <c:v>0.39023828315547004</c:v>
                </c:pt>
                <c:pt idx="3">
                  <c:v>0.33532298825055562</c:v>
                </c:pt>
              </c:numCache>
            </c:numRef>
          </c:val>
        </c:ser>
        <c:dLbls>
          <c:showLegendKey val="0"/>
          <c:showVal val="0"/>
          <c:showCatName val="0"/>
          <c:showSerName val="0"/>
          <c:showPercent val="0"/>
          <c:showBubbleSize val="0"/>
        </c:dLbls>
        <c:gapWidth val="150"/>
        <c:axId val="461546368"/>
        <c:axId val="461546928"/>
      </c:barChart>
      <c:catAx>
        <c:axId val="461546368"/>
        <c:scaling>
          <c:orientation val="minMax"/>
        </c:scaling>
        <c:delete val="0"/>
        <c:axPos val="b"/>
        <c:title>
          <c:tx>
            <c:rich>
              <a:bodyPr/>
              <a:lstStyle/>
              <a:p>
                <a:pPr>
                  <a:defRPr/>
                </a:pPr>
                <a:r>
                  <a:rPr lang="es-AR"/>
                  <a:t>TRATAMIENTOS</a:t>
                </a:r>
              </a:p>
            </c:rich>
          </c:tx>
          <c:layout>
            <c:manualLayout>
              <c:xMode val="edge"/>
              <c:yMode val="edge"/>
              <c:x val="0.44018859537719074"/>
              <c:y val="0.92405297724881164"/>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a:pPr>
            <a:endParaRPr lang="es-ES"/>
          </a:p>
        </c:txPr>
        <c:crossAx val="461546928"/>
        <c:crosses val="autoZero"/>
        <c:auto val="1"/>
        <c:lblAlgn val="ctr"/>
        <c:lblOffset val="100"/>
        <c:tickLblSkip val="1"/>
        <c:tickMarkSkip val="1"/>
        <c:noMultiLvlLbl val="0"/>
      </c:catAx>
      <c:valAx>
        <c:axId val="461546928"/>
        <c:scaling>
          <c:orientation val="minMax"/>
          <c:max val="0.5"/>
          <c:min val="0"/>
        </c:scaling>
        <c:delete val="0"/>
        <c:axPos val="l"/>
        <c:title>
          <c:tx>
            <c:rich>
              <a:bodyPr/>
              <a:lstStyle/>
              <a:p>
                <a:pPr>
                  <a:defRPr/>
                </a:pPr>
                <a:r>
                  <a:rPr lang="es-AR"/>
                  <a:t>Rendimiento (kg/ha)</a:t>
                </a:r>
              </a:p>
            </c:rich>
          </c:tx>
          <c:layout>
            <c:manualLayout>
              <c:xMode val="edge"/>
              <c:yMode val="edge"/>
              <c:x val="1.0080645161290322E-2"/>
              <c:y val="0.27887353517430036"/>
            </c:manualLayout>
          </c:layout>
          <c:overlay val="0"/>
          <c:spPr>
            <a:noFill/>
            <a:ln w="25400">
              <a:noFill/>
            </a:ln>
          </c:spPr>
        </c:title>
        <c:numFmt formatCode="0.0" sourceLinked="0"/>
        <c:majorTickMark val="out"/>
        <c:minorTickMark val="none"/>
        <c:tickLblPos val="nextTo"/>
        <c:spPr>
          <a:ln w="3175">
            <a:solidFill>
              <a:srgbClr val="000000"/>
            </a:solidFill>
            <a:prstDash val="solid"/>
          </a:ln>
        </c:spPr>
        <c:txPr>
          <a:bodyPr rot="0" vert="horz"/>
          <a:lstStyle/>
          <a:p>
            <a:pPr>
              <a:defRPr/>
            </a:pPr>
            <a:endParaRPr lang="es-ES"/>
          </a:p>
        </c:txPr>
        <c:crossAx val="461546368"/>
        <c:crosses val="autoZero"/>
        <c:crossBetween val="between"/>
        <c:majorUnit val="0.1"/>
      </c:valAx>
      <c:spPr>
        <a:noFill/>
        <a:ln w="25400">
          <a:noFill/>
        </a:ln>
      </c:spPr>
    </c:plotArea>
    <c:plotVisOnly val="1"/>
    <c:dispBlanksAs val="gap"/>
    <c:showDLblsOverMax val="0"/>
  </c:chart>
  <c:spPr>
    <a:noFill/>
    <a:ln w="9525">
      <a:noFill/>
    </a:ln>
  </c:spPr>
  <c:txPr>
    <a:bodyPr/>
    <a:lstStyle/>
    <a:p>
      <a:pPr>
        <a:defRPr sz="900" b="1" i="0" u="none" strike="noStrike" baseline="0">
          <a:solidFill>
            <a:srgbClr val="000000"/>
          </a:solidFill>
          <a:latin typeface="+mn-lt"/>
          <a:ea typeface="Arial"/>
          <a:cs typeface="Arial"/>
        </a:defRPr>
      </a:pPr>
      <a:endParaRPr lang="es-E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082580756865661"/>
          <c:y val="3.262980557182419E-2"/>
          <c:w val="0.87100512735758107"/>
          <c:h val="0.7672819823141942"/>
        </c:manualLayout>
      </c:layout>
      <c:barChart>
        <c:barDir val="col"/>
        <c:grouping val="clustered"/>
        <c:varyColors val="0"/>
        <c:ser>
          <c:idx val="0"/>
          <c:order val="0"/>
          <c:spPr>
            <a:solidFill>
              <a:srgbClr val="CCFFCC"/>
            </a:solidFill>
            <a:ln w="12700">
              <a:solidFill>
                <a:srgbClr val="000000"/>
              </a:solidFill>
              <a:prstDash val="solid"/>
            </a:ln>
          </c:spPr>
          <c:invertIfNegative val="0"/>
          <c:dPt>
            <c:idx val="0"/>
            <c:invertIfNegative val="0"/>
            <c:bubble3D val="0"/>
            <c:spPr>
              <a:solidFill>
                <a:srgbClr val="FF0000"/>
              </a:solidFill>
              <a:ln w="12700">
                <a:solidFill>
                  <a:srgbClr val="000000"/>
                </a:solidFill>
                <a:prstDash val="solid"/>
              </a:ln>
            </c:spPr>
          </c:dPt>
          <c:dPt>
            <c:idx val="1"/>
            <c:invertIfNegative val="0"/>
            <c:bubble3D val="0"/>
            <c:spPr>
              <a:solidFill>
                <a:srgbClr val="339966"/>
              </a:solidFill>
              <a:ln w="12700">
                <a:solidFill>
                  <a:srgbClr val="000000"/>
                </a:solidFill>
                <a:prstDash val="solid"/>
              </a:ln>
            </c:spPr>
          </c:dPt>
          <c:dPt>
            <c:idx val="2"/>
            <c:invertIfNegative val="0"/>
            <c:bubble3D val="0"/>
            <c:spPr>
              <a:gradFill rotWithShape="0">
                <a:gsLst>
                  <a:gs pos="0">
                    <a:srgbClr val="FFCC00"/>
                  </a:gs>
                  <a:gs pos="50000">
                    <a:srgbClr val="FFFFCC"/>
                  </a:gs>
                  <a:gs pos="100000">
                    <a:srgbClr val="FFCC00"/>
                  </a:gs>
                </a:gsLst>
                <a:lin ang="0" scaled="1"/>
              </a:gradFill>
              <a:ln w="12700">
                <a:solidFill>
                  <a:srgbClr val="000000"/>
                </a:solidFill>
                <a:prstDash val="solid"/>
              </a:ln>
            </c:spPr>
          </c:dPt>
          <c:dPt>
            <c:idx val="3"/>
            <c:invertIfNegative val="0"/>
            <c:bubble3D val="0"/>
            <c:spPr>
              <a:solidFill>
                <a:srgbClr val="3366FF"/>
              </a:solidFill>
              <a:ln w="12700">
                <a:solidFill>
                  <a:srgbClr val="000000"/>
                </a:solidFill>
                <a:prstDash val="solid"/>
              </a:ln>
            </c:spPr>
          </c:dPt>
          <c:dPt>
            <c:idx val="4"/>
            <c:invertIfNegative val="0"/>
            <c:bubble3D val="0"/>
            <c:spPr>
              <a:solidFill>
                <a:srgbClr val="FFFF99"/>
              </a:solidFill>
              <a:ln w="12700">
                <a:solidFill>
                  <a:srgbClr val="000000"/>
                </a:solidFill>
                <a:prstDash val="solid"/>
              </a:ln>
            </c:spPr>
          </c:dPt>
          <c:dPt>
            <c:idx val="5"/>
            <c:invertIfNegative val="0"/>
            <c:bubble3D val="0"/>
            <c:spPr>
              <a:solidFill>
                <a:srgbClr val="3366FF"/>
              </a:solidFill>
              <a:ln w="12700">
                <a:solidFill>
                  <a:srgbClr val="000000"/>
                </a:solidFill>
                <a:prstDash val="solid"/>
              </a:ln>
            </c:spPr>
          </c:dPt>
          <c:dPt>
            <c:idx val="6"/>
            <c:invertIfNegative val="0"/>
            <c:bubble3D val="0"/>
            <c:spPr>
              <a:solidFill>
                <a:srgbClr val="FF0000"/>
              </a:solidFill>
              <a:ln w="12700">
                <a:solidFill>
                  <a:srgbClr val="000000"/>
                </a:solidFill>
                <a:prstDash val="solid"/>
              </a:ln>
            </c:spPr>
          </c:dPt>
          <c:dPt>
            <c:idx val="7"/>
            <c:invertIfNegative val="0"/>
            <c:bubble3D val="0"/>
            <c:spPr>
              <a:solidFill>
                <a:srgbClr val="339966"/>
              </a:solidFill>
              <a:ln w="12700">
                <a:solidFill>
                  <a:srgbClr val="000000"/>
                </a:solidFill>
                <a:prstDash val="solid"/>
              </a:ln>
            </c:spPr>
          </c:dPt>
          <c:dPt>
            <c:idx val="8"/>
            <c:invertIfNegative val="0"/>
            <c:bubble3D val="0"/>
            <c:spPr>
              <a:solidFill>
                <a:srgbClr val="FFFF99"/>
              </a:solidFill>
              <a:ln w="12700">
                <a:solidFill>
                  <a:srgbClr val="000000"/>
                </a:solidFill>
                <a:prstDash val="solid"/>
              </a:ln>
            </c:spPr>
          </c:dPt>
          <c:dPt>
            <c:idx val="9"/>
            <c:invertIfNegative val="0"/>
            <c:bubble3D val="0"/>
            <c:spPr>
              <a:solidFill>
                <a:srgbClr val="3366FF"/>
              </a:solidFill>
              <a:ln w="12700">
                <a:solidFill>
                  <a:srgbClr val="000000"/>
                </a:solidFill>
                <a:prstDash val="solid"/>
              </a:ln>
            </c:spPr>
          </c:dPt>
          <c:dPt>
            <c:idx val="10"/>
            <c:invertIfNegative val="0"/>
            <c:bubble3D val="0"/>
            <c:spPr>
              <a:gradFill flip="none" rotWithShape="1">
                <a:gsLst>
                  <a:gs pos="100000">
                    <a:srgbClr val="FFCC00"/>
                  </a:gs>
                  <a:gs pos="0">
                    <a:srgbClr val="FFCC00"/>
                  </a:gs>
                  <a:gs pos="50000">
                    <a:schemeClr val="bg1"/>
                  </a:gs>
                  <a:gs pos="0">
                    <a:srgbClr val="FFCC00"/>
                  </a:gs>
                </a:gsLst>
                <a:lin ang="0" scaled="0"/>
                <a:tileRect/>
              </a:gradFill>
              <a:ln w="12700">
                <a:solidFill>
                  <a:srgbClr val="000000"/>
                </a:solidFill>
                <a:prstDash val="solid"/>
              </a:ln>
            </c:spPr>
          </c:dPt>
          <c:dPt>
            <c:idx val="11"/>
            <c:invertIfNegative val="0"/>
            <c:bubble3D val="0"/>
            <c:spPr>
              <a:solidFill>
                <a:srgbClr val="3366FF"/>
              </a:solidFill>
              <a:ln w="12700">
                <a:solidFill>
                  <a:srgbClr val="000000"/>
                </a:solidFill>
                <a:prstDash val="solid"/>
              </a:ln>
            </c:spPr>
          </c:dPt>
          <c:dPt>
            <c:idx val="12"/>
            <c:invertIfNegative val="0"/>
            <c:bubble3D val="0"/>
            <c:spPr>
              <a:solidFill>
                <a:srgbClr val="339966"/>
              </a:solidFill>
              <a:ln w="12700">
                <a:solidFill>
                  <a:srgbClr val="000000"/>
                </a:solidFill>
                <a:prstDash val="solid"/>
              </a:ln>
            </c:spPr>
          </c:dPt>
          <c:dPt>
            <c:idx val="13"/>
            <c:invertIfNegative val="0"/>
            <c:bubble3D val="0"/>
            <c:spPr>
              <a:solidFill>
                <a:srgbClr val="FFFF99"/>
              </a:solidFill>
              <a:ln w="12700">
                <a:solidFill>
                  <a:srgbClr val="000000"/>
                </a:solidFill>
                <a:prstDash val="solid"/>
              </a:ln>
            </c:spPr>
          </c:dPt>
          <c:dPt>
            <c:idx val="14"/>
            <c:invertIfNegative val="0"/>
            <c:bubble3D val="0"/>
            <c:spPr>
              <a:solidFill>
                <a:srgbClr val="3366FF"/>
              </a:solidFill>
              <a:ln w="12700">
                <a:solidFill>
                  <a:srgbClr val="000000"/>
                </a:solidFill>
                <a:prstDash val="solid"/>
              </a:ln>
            </c:spPr>
          </c:dPt>
          <c:dPt>
            <c:idx val="15"/>
            <c:invertIfNegative val="0"/>
            <c:bubble3D val="0"/>
            <c:spPr>
              <a:solidFill>
                <a:srgbClr val="FF0000"/>
              </a:solidFill>
              <a:ln w="12700">
                <a:solidFill>
                  <a:srgbClr val="000000"/>
                </a:solidFill>
                <a:prstDash val="solid"/>
              </a:ln>
            </c:spPr>
          </c:dPt>
          <c:dPt>
            <c:idx val="16"/>
            <c:invertIfNegative val="0"/>
            <c:bubble3D val="0"/>
            <c:spPr>
              <a:solidFill>
                <a:srgbClr val="339966"/>
              </a:solidFill>
              <a:ln w="12700">
                <a:solidFill>
                  <a:srgbClr val="000000"/>
                </a:solidFill>
                <a:prstDash val="solid"/>
              </a:ln>
            </c:spPr>
          </c:dPt>
          <c:dPt>
            <c:idx val="17"/>
            <c:invertIfNegative val="0"/>
            <c:bubble3D val="0"/>
            <c:spPr>
              <a:gradFill>
                <a:gsLst>
                  <a:gs pos="100000">
                    <a:srgbClr val="FFCC00"/>
                  </a:gs>
                  <a:gs pos="0">
                    <a:srgbClr val="FFCC00"/>
                  </a:gs>
                  <a:gs pos="50000">
                    <a:schemeClr val="bg1"/>
                  </a:gs>
                  <a:gs pos="0">
                    <a:srgbClr val="FFCC00"/>
                  </a:gs>
                </a:gsLst>
                <a:lin ang="0" scaled="0"/>
              </a:gradFill>
              <a:ln w="12700">
                <a:solidFill>
                  <a:srgbClr val="000000"/>
                </a:solidFill>
                <a:prstDash val="solid"/>
              </a:ln>
            </c:spPr>
          </c:dPt>
          <c:dPt>
            <c:idx val="18"/>
            <c:invertIfNegative val="0"/>
            <c:bubble3D val="0"/>
            <c:spPr>
              <a:solidFill>
                <a:srgbClr val="3366FF"/>
              </a:solidFill>
              <a:ln w="12700">
                <a:solidFill>
                  <a:srgbClr val="000000"/>
                </a:solidFill>
                <a:prstDash val="solid"/>
              </a:ln>
            </c:spPr>
          </c:dPt>
          <c:dPt>
            <c:idx val="19"/>
            <c:invertIfNegative val="0"/>
            <c:bubble3D val="0"/>
            <c:spPr>
              <a:solidFill>
                <a:srgbClr val="FF0000"/>
              </a:solidFill>
              <a:ln w="12700">
                <a:solidFill>
                  <a:srgbClr val="000000"/>
                </a:solidFill>
                <a:prstDash val="solid"/>
              </a:ln>
            </c:spPr>
          </c:dPt>
          <c:dPt>
            <c:idx val="20"/>
            <c:invertIfNegative val="0"/>
            <c:bubble3D val="0"/>
            <c:spPr>
              <a:solidFill>
                <a:schemeClr val="tx1"/>
              </a:solidFill>
              <a:ln w="12700">
                <a:solidFill>
                  <a:srgbClr val="000000"/>
                </a:solidFill>
                <a:prstDash val="solid"/>
              </a:ln>
            </c:spPr>
          </c:dPt>
          <c:dLbls>
            <c:dLbl>
              <c:idx val="0"/>
              <c:layout>
                <c:manualLayout>
                  <c:x val="5.5669511899247891E-3"/>
                  <c:y val="-3.7154942409058374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1.3213137090258083E-3"/>
                  <c:y val="-2.8391577457312217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1.1421811710155981E-2"/>
                  <c:y val="-2.8452033383467426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7.3976668409406268E-3"/>
                  <c:y val="-2.5633902503760082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2.4108162950219458E-3"/>
                  <c:y val="-4.16167400562533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5"/>
              <c:layout>
                <c:manualLayout>
                  <c:x val="-1.1469154590970247E-5"/>
                  <c:y val="-1.5387084878852953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6"/>
              <c:layout>
                <c:manualLayout>
                  <c:x val="1.132623127991354E-3"/>
                  <c:y val="-3.5668062153387851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7"/>
              <c:layout>
                <c:manualLayout>
                  <c:x val="3.3735219717253655E-3"/>
                  <c:y val="-3.6201008581792447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8"/>
              <c:layout>
                <c:manualLayout>
                  <c:x val="6.6911047883720419E-3"/>
                  <c:y val="-4.8328380440048301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9"/>
              <c:layout>
                <c:manualLayout>
                  <c:x val="0"/>
                  <c:y val="-2.3121985784834747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0"/>
              <c:layout>
                <c:manualLayout>
                  <c:x val="-8.2165250633271889E-17"/>
                  <c:y val="-2.938475665748393E-2"/>
                </c:manualLayout>
              </c:layout>
              <c:showLegendKey val="0"/>
              <c:showVal val="1"/>
              <c:showCatName val="0"/>
              <c:showSerName val="0"/>
              <c:showPercent val="0"/>
              <c:showBubbleSize val="0"/>
              <c:extLst>
                <c:ext xmlns:c15="http://schemas.microsoft.com/office/drawing/2012/chart" uri="{CE6537A1-D6FC-4f65-9D91-7224C49458BB}"/>
              </c:extLst>
            </c:dLbl>
            <c:dLbl>
              <c:idx val="12"/>
              <c:layout>
                <c:manualLayout>
                  <c:x val="0"/>
                  <c:y val="-4.4077134986225897E-2"/>
                </c:manualLayout>
              </c:layout>
              <c:showLegendKey val="0"/>
              <c:showVal val="1"/>
              <c:showCatName val="0"/>
              <c:showSerName val="0"/>
              <c:showPercent val="0"/>
              <c:showBubbleSize val="0"/>
              <c:extLst>
                <c:ext xmlns:c15="http://schemas.microsoft.com/office/drawing/2012/chart" uri="{CE6537A1-D6FC-4f65-9D91-7224C49458BB}"/>
              </c:extLst>
            </c:dLbl>
            <c:dLbl>
              <c:idx val="13"/>
              <c:layout>
                <c:manualLayout>
                  <c:x val="-5.8693487901718428E-3"/>
                  <c:y val="-7.3461891643709998E-3"/>
                </c:manualLayout>
              </c:layout>
              <c:showLegendKey val="0"/>
              <c:showVal val="1"/>
              <c:showCatName val="0"/>
              <c:showSerName val="0"/>
              <c:showPercent val="0"/>
              <c:showBubbleSize val="0"/>
              <c:extLst>
                <c:ext xmlns:c15="http://schemas.microsoft.com/office/drawing/2012/chart" uri="{CE6537A1-D6FC-4f65-9D91-7224C49458BB}"/>
              </c:extLst>
            </c:dLbl>
            <c:dLbl>
              <c:idx val="14"/>
              <c:layout>
                <c:manualLayout>
                  <c:x val="0"/>
                  <c:y val="-2.2038567493112966E-2"/>
                </c:manualLayout>
              </c:layout>
              <c:showLegendKey val="0"/>
              <c:showVal val="1"/>
              <c:showCatName val="0"/>
              <c:showSerName val="0"/>
              <c:showPercent val="0"/>
              <c:showBubbleSize val="0"/>
              <c:extLst>
                <c:ext xmlns:c15="http://schemas.microsoft.com/office/drawing/2012/chart" uri="{CE6537A1-D6FC-4f65-9D91-7224C49458BB}"/>
              </c:extLst>
            </c:dLbl>
            <c:dLbl>
              <c:idx val="19"/>
              <c:layout>
                <c:manualLayout>
                  <c:x val="0"/>
                  <c:y val="-5.876951331496786E-2"/>
                </c:manualLayout>
              </c:layout>
              <c:showLegendKey val="0"/>
              <c:showVal val="1"/>
              <c:showCatName val="0"/>
              <c:showSerName val="0"/>
              <c:showPercent val="0"/>
              <c:showBubbleSize val="0"/>
              <c:extLst>
                <c:ext xmlns:c15="http://schemas.microsoft.com/office/drawing/2012/chart" uri="{CE6537A1-D6FC-4f65-9D91-7224C49458BB}"/>
              </c:extLst>
            </c:dLbl>
            <c:dLbl>
              <c:idx val="20"/>
              <c:layout>
                <c:manualLayout>
                  <c:x val="0"/>
                  <c:y val="-2.938475665748393E-2"/>
                </c:manualLayout>
              </c:layout>
              <c:showLegendKey val="0"/>
              <c:showVal val="1"/>
              <c:showCatName val="0"/>
              <c:showSerName val="0"/>
              <c:showPercent val="0"/>
              <c:showBubbleSize val="0"/>
              <c:extLst>
                <c:ext xmlns:c15="http://schemas.microsoft.com/office/drawing/2012/chart" uri="{CE6537A1-D6FC-4f65-9D91-7224C49458BB}"/>
              </c:extLst>
            </c:dLbl>
            <c:spPr>
              <a:solidFill>
                <a:schemeClr val="bg1"/>
              </a:solidFill>
              <a:ln w="2540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'Concentraciones NPS'!$AA$93:$AU$93</c:f>
                <c:numCache>
                  <c:formatCode>General</c:formatCode>
                  <c:ptCount val="21"/>
                  <c:pt idx="0">
                    <c:v>4.2101962701925164E-2</c:v>
                  </c:pt>
                  <c:pt idx="1">
                    <c:v>3.4706620211421332E-2</c:v>
                  </c:pt>
                  <c:pt idx="2">
                    <c:v>8.5194378633671741E-3</c:v>
                  </c:pt>
                  <c:pt idx="3">
                    <c:v>1.0106733327021465E-2</c:v>
                  </c:pt>
                  <c:pt idx="4">
                    <c:v>4.6656848944558856E-2</c:v>
                  </c:pt>
                  <c:pt idx="5">
                    <c:v>1.6001759652893261E-2</c:v>
                  </c:pt>
                  <c:pt idx="6">
                    <c:v>3.6602180856734612E-2</c:v>
                  </c:pt>
                  <c:pt idx="7">
                    <c:v>4.0264297853357486E-2</c:v>
                  </c:pt>
                  <c:pt idx="8">
                    <c:v>3.9434821312637577E-2</c:v>
                  </c:pt>
                  <c:pt idx="9">
                    <c:v>1.6052851343993941E-2</c:v>
                  </c:pt>
                  <c:pt idx="10">
                    <c:v>2.6704194531458052E-2</c:v>
                  </c:pt>
                  <c:pt idx="11">
                    <c:v>8.549892108243827E-3</c:v>
                  </c:pt>
                  <c:pt idx="12">
                    <c:v>4.1941210553442305E-2</c:v>
                  </c:pt>
                  <c:pt idx="13">
                    <c:v>0.1029026518693902</c:v>
                  </c:pt>
                  <c:pt idx="14">
                    <c:v>3.6262915045040249E-2</c:v>
                  </c:pt>
                  <c:pt idx="15">
                    <c:v>4.4045804813371031E-2</c:v>
                  </c:pt>
                  <c:pt idx="16">
                    <c:v>1.2912605268428254E-2</c:v>
                  </c:pt>
                  <c:pt idx="17">
                    <c:v>9.4749793104840205E-2</c:v>
                  </c:pt>
                  <c:pt idx="18">
                    <c:v>5.9091715153363311E-2</c:v>
                  </c:pt>
                  <c:pt idx="19">
                    <c:v>4.92200682666325E-2</c:v>
                  </c:pt>
                  <c:pt idx="20">
                    <c:v>3.8341418239106043E-2</c:v>
                  </c:pt>
                </c:numCache>
              </c:numRef>
            </c:plus>
            <c:minus>
              <c:numRef>
                <c:f>'Concentraciones NPS'!$AA$93:$AP$93</c:f>
                <c:numCache>
                  <c:formatCode>General</c:formatCode>
                  <c:ptCount val="16"/>
                  <c:pt idx="0">
                    <c:v>4.2101962701925164E-2</c:v>
                  </c:pt>
                  <c:pt idx="1">
                    <c:v>3.4706620211421332E-2</c:v>
                  </c:pt>
                  <c:pt idx="2">
                    <c:v>8.5194378633671741E-3</c:v>
                  </c:pt>
                  <c:pt idx="3">
                    <c:v>1.0106733327021465E-2</c:v>
                  </c:pt>
                  <c:pt idx="4">
                    <c:v>4.6656848944558856E-2</c:v>
                  </c:pt>
                  <c:pt idx="5">
                    <c:v>1.6001759652893261E-2</c:v>
                  </c:pt>
                  <c:pt idx="6">
                    <c:v>3.6602180856734612E-2</c:v>
                  </c:pt>
                  <c:pt idx="7">
                    <c:v>4.0264297853357486E-2</c:v>
                  </c:pt>
                  <c:pt idx="8">
                    <c:v>3.9434821312637577E-2</c:v>
                  </c:pt>
                  <c:pt idx="9">
                    <c:v>1.6052851343993941E-2</c:v>
                  </c:pt>
                  <c:pt idx="10">
                    <c:v>2.6704194531458052E-2</c:v>
                  </c:pt>
                  <c:pt idx="11">
                    <c:v>8.549892108243827E-3</c:v>
                  </c:pt>
                  <c:pt idx="12">
                    <c:v>4.1941210553442305E-2</c:v>
                  </c:pt>
                  <c:pt idx="13">
                    <c:v>0.1029026518693902</c:v>
                  </c:pt>
                  <c:pt idx="14">
                    <c:v>3.6262915045040249E-2</c:v>
                  </c:pt>
                  <c:pt idx="15">
                    <c:v>4.4045804813371031E-2</c:v>
                  </c:pt>
                </c:numCache>
              </c:numRef>
            </c:minus>
            <c:spPr>
              <a:ln w="12700">
                <a:solidFill>
                  <a:srgbClr val="000000"/>
                </a:solidFill>
                <a:prstDash val="solid"/>
              </a:ln>
            </c:spPr>
          </c:errBars>
          <c:cat>
            <c:strRef>
              <c:f>'Concentraciones NPS'!$AA$85:$AU$85</c:f>
              <c:strCache>
                <c:ptCount val="21"/>
                <c:pt idx="0">
                  <c:v>Maíz</c:v>
                </c:pt>
                <c:pt idx="1">
                  <c:v>Soja 1ra</c:v>
                </c:pt>
                <c:pt idx="2">
                  <c:v>Trigo</c:v>
                </c:pt>
                <c:pt idx="3">
                  <c:v>Soja 2da</c:v>
                </c:pt>
                <c:pt idx="4">
                  <c:v>Cebada</c:v>
                </c:pt>
                <c:pt idx="5">
                  <c:v>Soja 2da</c:v>
                </c:pt>
                <c:pt idx="6">
                  <c:v>Maíz</c:v>
                </c:pt>
                <c:pt idx="7">
                  <c:v>Soja 1ra</c:v>
                </c:pt>
                <c:pt idx="8">
                  <c:v>Cebada</c:v>
                </c:pt>
                <c:pt idx="9">
                  <c:v>Soja 2da</c:v>
                </c:pt>
                <c:pt idx="10">
                  <c:v>Trigo</c:v>
                </c:pt>
                <c:pt idx="11">
                  <c:v>Soja 2da</c:v>
                </c:pt>
                <c:pt idx="12">
                  <c:v>Soja 1ra</c:v>
                </c:pt>
                <c:pt idx="13">
                  <c:v>cebada</c:v>
                </c:pt>
                <c:pt idx="14">
                  <c:v>Soja 2da</c:v>
                </c:pt>
                <c:pt idx="15">
                  <c:v>Maíz</c:v>
                </c:pt>
                <c:pt idx="16">
                  <c:v>Soja</c:v>
                </c:pt>
                <c:pt idx="17">
                  <c:v>Trigo</c:v>
                </c:pt>
                <c:pt idx="18">
                  <c:v>Soja 2da</c:v>
                </c:pt>
                <c:pt idx="19">
                  <c:v>Maíz</c:v>
                </c:pt>
                <c:pt idx="20">
                  <c:v>promedio</c:v>
                </c:pt>
              </c:strCache>
            </c:strRef>
          </c:cat>
          <c:val>
            <c:numRef>
              <c:f>'Concentraciones NPS'!$AA$92:$AU$92</c:f>
              <c:numCache>
                <c:formatCode>0.00</c:formatCode>
                <c:ptCount val="21"/>
                <c:pt idx="0">
                  <c:v>0.24061413550716207</c:v>
                </c:pt>
                <c:pt idx="1">
                  <c:v>0.35579480903492661</c:v>
                </c:pt>
                <c:pt idx="2">
                  <c:v>0.15609060156250004</c:v>
                </c:pt>
                <c:pt idx="3">
                  <c:v>8.0076145850902336E-2</c:v>
                </c:pt>
                <c:pt idx="4">
                  <c:v>0.32919758840460533</c:v>
                </c:pt>
                <c:pt idx="5">
                  <c:v>0.12138212072018893</c:v>
                </c:pt>
                <c:pt idx="6">
                  <c:v>0.58677264637564841</c:v>
                </c:pt>
                <c:pt idx="7">
                  <c:v>0.36409019068920589</c:v>
                </c:pt>
                <c:pt idx="8">
                  <c:v>0.1925476296657985</c:v>
                </c:pt>
                <c:pt idx="9">
                  <c:v>0.18124871427780809</c:v>
                </c:pt>
                <c:pt idx="10">
                  <c:v>0.28799227498372393</c:v>
                </c:pt>
                <c:pt idx="11">
                  <c:v>0.29354969438705231</c:v>
                </c:pt>
                <c:pt idx="12">
                  <c:v>0.36285593190137633</c:v>
                </c:pt>
                <c:pt idx="13">
                  <c:v>0.62045257757022754</c:v>
                </c:pt>
                <c:pt idx="14">
                  <c:v>0.66054278327666915</c:v>
                </c:pt>
                <c:pt idx="15">
                  <c:v>0.77667568401529308</c:v>
                </c:pt>
                <c:pt idx="16">
                  <c:v>0.33814558209647516</c:v>
                </c:pt>
                <c:pt idx="17">
                  <c:v>0.62309865106491813</c:v>
                </c:pt>
                <c:pt idx="18">
                  <c:v>0.4388522228961193</c:v>
                </c:pt>
                <c:pt idx="19">
                  <c:v>0.63023718241291316</c:v>
                </c:pt>
                <c:pt idx="20" formatCode="0.000">
                  <c:v>0.38201085833467568</c:v>
                </c:pt>
              </c:numCache>
            </c:numRef>
          </c:val>
        </c:ser>
        <c:dLbls>
          <c:showLegendKey val="0"/>
          <c:showVal val="0"/>
          <c:showCatName val="0"/>
          <c:showSerName val="0"/>
          <c:showPercent val="0"/>
          <c:showBubbleSize val="0"/>
        </c:dLbls>
        <c:gapWidth val="150"/>
        <c:axId val="461569376"/>
        <c:axId val="461569936"/>
      </c:barChart>
      <c:catAx>
        <c:axId val="461569376"/>
        <c:scaling>
          <c:orientation val="minMax"/>
        </c:scaling>
        <c:delete val="0"/>
        <c:axPos val="b"/>
        <c:title>
          <c:tx>
            <c:rich>
              <a:bodyPr/>
              <a:lstStyle/>
              <a:p>
                <a:pPr>
                  <a:defRPr/>
                </a:pPr>
                <a:r>
                  <a:rPr lang="en-US"/>
                  <a:t>Cultivos en la secuencia</a:t>
                </a:r>
              </a:p>
            </c:rich>
          </c:tx>
          <c:layout>
            <c:manualLayout>
              <c:xMode val="edge"/>
              <c:yMode val="edge"/>
              <c:x val="0.41188486733275986"/>
              <c:y val="0.93660060750833118"/>
            </c:manualLayout>
          </c:layout>
          <c:overlay val="0"/>
        </c:title>
        <c:numFmt formatCode="General" sourceLinked="1"/>
        <c:majorTickMark val="out"/>
        <c:minorTickMark val="none"/>
        <c:tickLblPos val="nextTo"/>
        <c:spPr>
          <a:ln w="3175">
            <a:solidFill>
              <a:srgbClr val="000000"/>
            </a:solidFill>
            <a:prstDash val="solid"/>
          </a:ln>
        </c:spPr>
        <c:txPr>
          <a:bodyPr rot="-2700000" vert="horz"/>
          <a:lstStyle/>
          <a:p>
            <a:pPr>
              <a:defRPr/>
            </a:pPr>
            <a:endParaRPr lang="es-ES"/>
          </a:p>
        </c:txPr>
        <c:crossAx val="461569936"/>
        <c:crosses val="autoZero"/>
        <c:auto val="1"/>
        <c:lblAlgn val="ctr"/>
        <c:lblOffset val="100"/>
        <c:tickLblSkip val="1"/>
        <c:tickMarkSkip val="1"/>
        <c:noMultiLvlLbl val="0"/>
      </c:catAx>
      <c:valAx>
        <c:axId val="461569936"/>
        <c:scaling>
          <c:orientation val="minMax"/>
          <c:max val="0.8"/>
          <c:min val="0"/>
        </c:scaling>
        <c:delete val="0"/>
        <c:axPos val="l"/>
        <c:title>
          <c:tx>
            <c:rich>
              <a:bodyPr/>
              <a:lstStyle/>
              <a:p>
                <a:pPr>
                  <a:defRPr/>
                </a:pPr>
                <a:r>
                  <a:rPr lang="es-AR"/>
                  <a:t>Rendimiento (kg/ha)</a:t>
                </a:r>
              </a:p>
            </c:rich>
          </c:tx>
          <c:layout>
            <c:manualLayout>
              <c:xMode val="edge"/>
              <c:yMode val="edge"/>
              <c:x val="5.7042344969247436E-4"/>
              <c:y val="0.21888693665357947"/>
            </c:manualLayout>
          </c:layout>
          <c:overlay val="0"/>
          <c:spPr>
            <a:noFill/>
            <a:ln w="25400">
              <a:noFill/>
            </a:ln>
          </c:spPr>
        </c:title>
        <c:numFmt formatCode="0.00" sourceLinked="0"/>
        <c:majorTickMark val="out"/>
        <c:minorTickMark val="none"/>
        <c:tickLblPos val="nextTo"/>
        <c:spPr>
          <a:ln w="3175">
            <a:solidFill>
              <a:srgbClr val="000000"/>
            </a:solidFill>
            <a:prstDash val="solid"/>
          </a:ln>
        </c:spPr>
        <c:txPr>
          <a:bodyPr rot="0" vert="horz"/>
          <a:lstStyle/>
          <a:p>
            <a:pPr>
              <a:defRPr/>
            </a:pPr>
            <a:endParaRPr lang="es-ES"/>
          </a:p>
        </c:txPr>
        <c:crossAx val="461569376"/>
        <c:crosses val="autoZero"/>
        <c:crossBetween val="between"/>
        <c:majorUnit val="0.1"/>
      </c:valAx>
      <c:spPr>
        <a:noFill/>
        <a:ln w="25400">
          <a:noFill/>
        </a:ln>
      </c:spPr>
    </c:plotArea>
    <c:plotVisOnly val="1"/>
    <c:dispBlanksAs val="gap"/>
    <c:showDLblsOverMax val="0"/>
  </c:chart>
  <c:spPr>
    <a:noFill/>
    <a:ln w="9525">
      <a:noFill/>
    </a:ln>
  </c:spPr>
  <c:txPr>
    <a:bodyPr/>
    <a:lstStyle/>
    <a:p>
      <a:pPr>
        <a:defRPr sz="900" b="1" i="0" u="none" strike="noStrike" baseline="0">
          <a:solidFill>
            <a:srgbClr val="000000"/>
          </a:solidFill>
          <a:latin typeface="+mn-lt"/>
          <a:ea typeface="Arial"/>
          <a:cs typeface="Arial"/>
        </a:defRPr>
      </a:pPr>
      <a:endParaRPr lang="es-ES"/>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CC151D-FACA-4363-8CA6-8D5801C54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12</Pages>
  <Words>4429</Words>
  <Characters>24362</Characters>
  <Application>Microsoft Office Word</Application>
  <DocSecurity>0</DocSecurity>
  <Lines>203</Lines>
  <Paragraphs>57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EFECTO DE DIFERENTES ESTRATEGIAS DE FERTILIZACIÓN SOBRE EL RENDIMIENTO Y LA CALIDAD DE TRIGO PAN EN EL NORTE, CENTRO Y OESTE DE LA PROVINCIA DE BUENOS AIRES</vt:lpstr>
      <vt:lpstr>EFECTO DE DIFERENTES ESTRATEGIAS DE FERTILIZACIÓN SOBRE EL RENDIMIENTO Y LA CALIDAD DE TRIGO PAN EN EL NORTE, CENTRO Y OESTE DE LA PROVINCIA DE BUENOS AIRES</vt:lpstr>
    </vt:vector>
  </TitlesOfParts>
  <Company>INTA Pergamino</Company>
  <LinksUpToDate>false</LinksUpToDate>
  <CharactersWithSpaces>28734</CharactersWithSpaces>
  <SharedDoc>false</SharedDoc>
  <HLinks>
    <vt:vector size="6" baseType="variant">
      <vt:variant>
        <vt:i4>4718675</vt:i4>
      </vt:variant>
      <vt:variant>
        <vt:i4>0</vt:i4>
      </vt:variant>
      <vt:variant>
        <vt:i4>0</vt:i4>
      </vt:variant>
      <vt:variant>
        <vt:i4>5</vt:i4>
      </vt:variant>
      <vt:variant>
        <vt:lpwstr>http://www.ipni.net/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EFECTO DE DIFERENTES ESTRATEGIAS DE FERTILIZACIÓN SOBRE EL RENDIMIENTO Y LA CALIDAD DE TRIGO PAN EN EL NORTE, CENTRO Y OESTE DE LA PROVINCIA DE BUENOS AIRES</dc:title>
  <dc:creator>revisor</dc:creator>
  <cp:lastModifiedBy>Usuario</cp:lastModifiedBy>
  <cp:revision>9</cp:revision>
  <cp:lastPrinted>2010-12-09T18:16:00Z</cp:lastPrinted>
  <dcterms:created xsi:type="dcterms:W3CDTF">2020-07-29T02:52:00Z</dcterms:created>
  <dcterms:modified xsi:type="dcterms:W3CDTF">2020-07-30T12:33:00Z</dcterms:modified>
</cp:coreProperties>
</file>